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E3C8" w14:textId="77777777" w:rsidR="00B829A3" w:rsidRPr="00CE42F9" w:rsidRDefault="00CE42F9" w:rsidP="00C23C7A">
      <w:pPr>
        <w:spacing w:after="0" w:line="240" w:lineRule="auto"/>
        <w:jc w:val="center"/>
        <w:rPr>
          <w:b/>
        </w:rPr>
      </w:pPr>
      <w:r>
        <w:rPr>
          <w:b/>
        </w:rPr>
        <w:t>Sample 1 Investment</w:t>
      </w:r>
      <w:r w:rsidRPr="00CE42F9">
        <w:rPr>
          <w:b/>
        </w:rPr>
        <w:t xml:space="preserve"> Firm</w:t>
      </w:r>
    </w:p>
    <w:p w14:paraId="26AD3AF6" w14:textId="1FDE183F" w:rsidR="00CE42F9" w:rsidRPr="00CE42F9" w:rsidRDefault="001635E2" w:rsidP="00C23C7A">
      <w:pPr>
        <w:spacing w:after="0" w:line="240" w:lineRule="auto"/>
        <w:jc w:val="center"/>
        <w:rPr>
          <w:b/>
        </w:rPr>
      </w:pPr>
      <w:r>
        <w:rPr>
          <w:b/>
        </w:rPr>
        <w:t>Japan Large Cap Equity Fund</w:t>
      </w:r>
    </w:p>
    <w:p w14:paraId="5EBBC35C" w14:textId="02CF1929" w:rsidR="00CE42F9" w:rsidRDefault="001635E2" w:rsidP="00C23C7A">
      <w:pPr>
        <w:spacing w:after="0" w:line="240" w:lineRule="auto"/>
        <w:jc w:val="center"/>
        <w:rPr>
          <w:b/>
        </w:rPr>
      </w:pPr>
      <w:r>
        <w:rPr>
          <w:b/>
        </w:rPr>
        <w:t>April</w:t>
      </w:r>
      <w:r w:rsidR="00CE42F9" w:rsidRPr="00CE42F9">
        <w:rPr>
          <w:b/>
        </w:rPr>
        <w:t xml:space="preserve"> 1, 20</w:t>
      </w:r>
      <w:r w:rsidR="00C23C7A">
        <w:rPr>
          <w:b/>
        </w:rPr>
        <w:t>1</w:t>
      </w:r>
      <w:r w:rsidR="00784D40">
        <w:rPr>
          <w:b/>
        </w:rPr>
        <w:t>1</w:t>
      </w:r>
      <w:r w:rsidR="00CE42F9" w:rsidRPr="00CE42F9">
        <w:rPr>
          <w:b/>
        </w:rPr>
        <w:t xml:space="preserve"> through December 31, 20</w:t>
      </w:r>
      <w:r w:rsidR="00784D40">
        <w:rPr>
          <w:b/>
        </w:rPr>
        <w:t>20</w:t>
      </w:r>
    </w:p>
    <w:p w14:paraId="64429203" w14:textId="77777777" w:rsidR="00C23C7A" w:rsidRPr="00CE42F9" w:rsidRDefault="00C23C7A" w:rsidP="00C23C7A">
      <w:pPr>
        <w:spacing w:after="0" w:line="240" w:lineRule="auto"/>
        <w:jc w:val="center"/>
        <w:rPr>
          <w:b/>
        </w:rPr>
      </w:pPr>
    </w:p>
    <w:tbl>
      <w:tblPr>
        <w:tblStyle w:val="TableGrid"/>
        <w:tblW w:w="0" w:type="auto"/>
        <w:jc w:val="center"/>
        <w:tblLook w:val="04A0" w:firstRow="1" w:lastRow="0" w:firstColumn="1" w:lastColumn="0" w:noHBand="0" w:noVBand="1"/>
      </w:tblPr>
      <w:tblGrid>
        <w:gridCol w:w="895"/>
        <w:gridCol w:w="990"/>
        <w:gridCol w:w="990"/>
        <w:gridCol w:w="990"/>
        <w:gridCol w:w="1080"/>
        <w:gridCol w:w="1242"/>
        <w:gridCol w:w="934"/>
        <w:gridCol w:w="911"/>
      </w:tblGrid>
      <w:tr w:rsidR="001F476F" w:rsidRPr="00CE42F9" w14:paraId="30F57A7E" w14:textId="77777777" w:rsidTr="001F476F">
        <w:trPr>
          <w:jc w:val="center"/>
        </w:trPr>
        <w:tc>
          <w:tcPr>
            <w:tcW w:w="895" w:type="dxa"/>
            <w:vAlign w:val="bottom"/>
          </w:tcPr>
          <w:p w14:paraId="68E86503" w14:textId="77777777" w:rsidR="001F476F" w:rsidRPr="00CE42F9" w:rsidRDefault="001F476F"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Year</w:t>
            </w:r>
          </w:p>
        </w:tc>
        <w:tc>
          <w:tcPr>
            <w:tcW w:w="990" w:type="dxa"/>
            <w:vAlign w:val="bottom"/>
          </w:tcPr>
          <w:p w14:paraId="367821D2" w14:textId="38C24FC0" w:rsidR="001F476F" w:rsidRPr="00CE42F9" w:rsidRDefault="001F476F" w:rsidP="001635E2">
            <w:pPr>
              <w:pStyle w:val="BasicParagraph"/>
              <w:jc w:val="center"/>
              <w:rPr>
                <w:rFonts w:asciiTheme="minorHAnsi" w:hAnsiTheme="minorHAnsi"/>
                <w:b/>
                <w:sz w:val="16"/>
                <w:szCs w:val="16"/>
              </w:rPr>
            </w:pPr>
            <w:r>
              <w:rPr>
                <w:rFonts w:asciiTheme="minorHAnsi" w:hAnsiTheme="minorHAnsi" w:cs="HelveticaNeueLT Std Lt"/>
                <w:b/>
                <w:sz w:val="16"/>
                <w:szCs w:val="16"/>
              </w:rPr>
              <w:t>Fund Gross</w:t>
            </w:r>
            <w:r w:rsidRPr="00CE42F9">
              <w:rPr>
                <w:rFonts w:asciiTheme="minorHAnsi" w:hAnsiTheme="minorHAnsi" w:cs="HelveticaNeueLT Std Lt"/>
                <w:b/>
                <w:sz w:val="16"/>
                <w:szCs w:val="16"/>
              </w:rPr>
              <w:t xml:space="preserve"> Return</w:t>
            </w:r>
            <w:r>
              <w:rPr>
                <w:rFonts w:asciiTheme="minorHAnsi" w:hAnsiTheme="minorHAnsi" w:cs="HelveticaNeueLT Std Lt"/>
                <w:b/>
                <w:sz w:val="16"/>
                <w:szCs w:val="16"/>
              </w:rPr>
              <w:t xml:space="preserve"> </w:t>
            </w:r>
            <w:r w:rsidRPr="00CE42F9">
              <w:rPr>
                <w:rFonts w:asciiTheme="minorHAnsi" w:hAnsiTheme="minorHAnsi" w:cs="HelveticaNeueLT Std Lt"/>
                <w:b/>
                <w:sz w:val="16"/>
                <w:szCs w:val="16"/>
              </w:rPr>
              <w:t>(%)</w:t>
            </w:r>
          </w:p>
        </w:tc>
        <w:tc>
          <w:tcPr>
            <w:tcW w:w="990" w:type="dxa"/>
            <w:vAlign w:val="bottom"/>
          </w:tcPr>
          <w:p w14:paraId="39B64730" w14:textId="349E3062" w:rsidR="001F476F" w:rsidRPr="00CE42F9" w:rsidRDefault="001F476F" w:rsidP="0065788A">
            <w:pPr>
              <w:pStyle w:val="BasicParagraph"/>
              <w:jc w:val="center"/>
              <w:rPr>
                <w:rFonts w:asciiTheme="minorHAnsi" w:hAnsiTheme="minorHAnsi" w:cs="HelveticaNeueLT Std Lt"/>
                <w:b/>
                <w:sz w:val="16"/>
                <w:szCs w:val="16"/>
              </w:rPr>
            </w:pPr>
            <w:r>
              <w:rPr>
                <w:rFonts w:asciiTheme="minorHAnsi" w:hAnsiTheme="minorHAnsi" w:cs="HelveticaNeueLT Std Lt"/>
                <w:b/>
                <w:sz w:val="16"/>
                <w:szCs w:val="16"/>
              </w:rPr>
              <w:t>Fund Net</w:t>
            </w:r>
          </w:p>
          <w:p w14:paraId="20D5C45F" w14:textId="5BE74FC1" w:rsidR="001F476F" w:rsidRPr="00CE42F9" w:rsidRDefault="001F476F" w:rsidP="001635E2">
            <w:pPr>
              <w:pStyle w:val="BasicParagraph"/>
              <w:jc w:val="center"/>
              <w:rPr>
                <w:rFonts w:asciiTheme="minorHAnsi" w:hAnsiTheme="minorHAnsi"/>
                <w:b/>
                <w:sz w:val="16"/>
                <w:szCs w:val="16"/>
              </w:rPr>
            </w:pPr>
            <w:r w:rsidRPr="00CE42F9">
              <w:rPr>
                <w:rFonts w:asciiTheme="minorHAnsi" w:hAnsiTheme="minorHAnsi" w:cs="HelveticaNeueLT Std Lt"/>
                <w:b/>
                <w:sz w:val="16"/>
                <w:szCs w:val="16"/>
              </w:rPr>
              <w:t>Return (%)</w:t>
            </w:r>
          </w:p>
        </w:tc>
        <w:tc>
          <w:tcPr>
            <w:tcW w:w="990" w:type="dxa"/>
            <w:vAlign w:val="bottom"/>
          </w:tcPr>
          <w:p w14:paraId="43DB3260" w14:textId="0F671494" w:rsidR="001F476F" w:rsidRPr="00CE42F9" w:rsidRDefault="001F476F"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Benchmark Return (%)</w:t>
            </w:r>
          </w:p>
        </w:tc>
        <w:tc>
          <w:tcPr>
            <w:tcW w:w="1080" w:type="dxa"/>
            <w:vAlign w:val="bottom"/>
          </w:tcPr>
          <w:p w14:paraId="4B2859C0" w14:textId="7604380F" w:rsidR="001F476F" w:rsidRPr="00CE42F9" w:rsidRDefault="001F476F" w:rsidP="0065788A">
            <w:pPr>
              <w:pStyle w:val="BasicParagraph"/>
              <w:jc w:val="center"/>
              <w:rPr>
                <w:rFonts w:asciiTheme="minorHAnsi" w:hAnsiTheme="minorHAnsi" w:cs="HelveticaNeueLT Std Lt"/>
                <w:b/>
                <w:sz w:val="16"/>
                <w:szCs w:val="16"/>
              </w:rPr>
            </w:pPr>
            <w:r>
              <w:rPr>
                <w:rFonts w:asciiTheme="minorHAnsi" w:hAnsiTheme="minorHAnsi" w:cs="HelveticaNeueLT Std Lt"/>
                <w:b/>
                <w:sz w:val="16"/>
                <w:szCs w:val="16"/>
              </w:rPr>
              <w:t>Fund</w:t>
            </w:r>
          </w:p>
          <w:p w14:paraId="66080286" w14:textId="0E95C042" w:rsidR="001F476F" w:rsidRPr="00CE42F9" w:rsidRDefault="001F476F" w:rsidP="0065788A">
            <w:pPr>
              <w:pStyle w:val="BasicParagraph"/>
              <w:jc w:val="center"/>
              <w:rPr>
                <w:rFonts w:asciiTheme="minorHAnsi" w:hAnsiTheme="minorHAnsi"/>
                <w:b/>
                <w:sz w:val="16"/>
                <w:szCs w:val="16"/>
              </w:rPr>
            </w:pPr>
            <w:r>
              <w:rPr>
                <w:rFonts w:asciiTheme="minorHAnsi" w:hAnsiTheme="minorHAnsi" w:cs="HelveticaNeueLT Std Lt"/>
                <w:b/>
                <w:sz w:val="16"/>
                <w:szCs w:val="16"/>
              </w:rPr>
              <w:t xml:space="preserve">Gross </w:t>
            </w:r>
            <w:r w:rsidRPr="00CE42F9">
              <w:rPr>
                <w:rFonts w:asciiTheme="minorHAnsi" w:hAnsiTheme="minorHAnsi" w:cs="HelveticaNeueLT Std Lt"/>
                <w:b/>
                <w:sz w:val="16"/>
                <w:szCs w:val="16"/>
              </w:rPr>
              <w:t>3-Yr St Dev (%)</w:t>
            </w:r>
          </w:p>
        </w:tc>
        <w:tc>
          <w:tcPr>
            <w:tcW w:w="1242" w:type="dxa"/>
            <w:vAlign w:val="bottom"/>
          </w:tcPr>
          <w:p w14:paraId="5C55BE79" w14:textId="24126609" w:rsidR="001F476F" w:rsidRPr="00CE42F9" w:rsidRDefault="001F476F" w:rsidP="0065788A">
            <w:pPr>
              <w:pStyle w:val="BasicParagraph"/>
              <w:jc w:val="center"/>
              <w:rPr>
                <w:rFonts w:asciiTheme="minorHAnsi" w:hAnsiTheme="minorHAnsi" w:cs="HelveticaNeueLT Std Lt"/>
                <w:b/>
                <w:sz w:val="16"/>
                <w:szCs w:val="16"/>
              </w:rPr>
            </w:pPr>
            <w:r>
              <w:rPr>
                <w:rFonts w:asciiTheme="minorHAnsi" w:hAnsiTheme="minorHAnsi" w:cs="HelveticaNeueLT Std Lt"/>
                <w:b/>
                <w:sz w:val="16"/>
                <w:szCs w:val="16"/>
              </w:rPr>
              <w:t>B</w:t>
            </w:r>
            <w:r w:rsidRPr="00CE42F9">
              <w:rPr>
                <w:rFonts w:asciiTheme="minorHAnsi" w:hAnsiTheme="minorHAnsi" w:cs="HelveticaNeueLT Std Lt"/>
                <w:b/>
                <w:sz w:val="16"/>
                <w:szCs w:val="16"/>
              </w:rPr>
              <w:t>enchmark</w:t>
            </w:r>
          </w:p>
          <w:p w14:paraId="60790218" w14:textId="77777777" w:rsidR="001F476F" w:rsidRPr="00CE42F9" w:rsidRDefault="001F476F"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3-Yr St Dev (%)</w:t>
            </w:r>
          </w:p>
        </w:tc>
        <w:tc>
          <w:tcPr>
            <w:tcW w:w="934" w:type="dxa"/>
            <w:vAlign w:val="bottom"/>
          </w:tcPr>
          <w:p w14:paraId="5A46E565" w14:textId="4FFDEB7E" w:rsidR="001F476F" w:rsidRPr="00CE42F9" w:rsidRDefault="001F476F" w:rsidP="0065788A">
            <w:pPr>
              <w:pStyle w:val="BasicParagraph"/>
              <w:jc w:val="center"/>
              <w:rPr>
                <w:rFonts w:asciiTheme="minorHAnsi" w:hAnsiTheme="minorHAnsi"/>
                <w:b/>
                <w:sz w:val="16"/>
                <w:szCs w:val="16"/>
              </w:rPr>
            </w:pPr>
            <w:r>
              <w:rPr>
                <w:rFonts w:asciiTheme="minorHAnsi" w:hAnsiTheme="minorHAnsi" w:cs="HelveticaNeueLT Std Lt"/>
                <w:b/>
                <w:sz w:val="16"/>
                <w:szCs w:val="16"/>
              </w:rPr>
              <w:t>Fund</w:t>
            </w:r>
            <w:r w:rsidRPr="00CE42F9">
              <w:rPr>
                <w:rFonts w:asciiTheme="minorHAnsi" w:hAnsiTheme="minorHAnsi" w:cs="HelveticaNeueLT Std Lt"/>
                <w:b/>
                <w:sz w:val="16"/>
                <w:szCs w:val="16"/>
              </w:rPr>
              <w:t xml:space="preserve"> Assets ($M)</w:t>
            </w:r>
          </w:p>
        </w:tc>
        <w:tc>
          <w:tcPr>
            <w:tcW w:w="911" w:type="dxa"/>
            <w:vAlign w:val="bottom"/>
          </w:tcPr>
          <w:p w14:paraId="6CDB37B8" w14:textId="77777777" w:rsidR="001F476F" w:rsidRPr="00CE42F9" w:rsidRDefault="001F476F" w:rsidP="0065788A">
            <w:pPr>
              <w:pStyle w:val="BasicParagraph"/>
              <w:jc w:val="center"/>
              <w:rPr>
                <w:rFonts w:asciiTheme="minorHAnsi" w:hAnsiTheme="minorHAnsi"/>
                <w:b/>
                <w:sz w:val="16"/>
                <w:szCs w:val="16"/>
              </w:rPr>
            </w:pPr>
            <w:r w:rsidRPr="00CE42F9">
              <w:rPr>
                <w:rFonts w:asciiTheme="minorHAnsi" w:hAnsiTheme="minorHAnsi" w:cs="HelveticaNeueLT Std Lt"/>
                <w:b/>
                <w:sz w:val="16"/>
                <w:szCs w:val="16"/>
              </w:rPr>
              <w:t>Firm Assets ($M)</w:t>
            </w:r>
          </w:p>
        </w:tc>
      </w:tr>
      <w:tr w:rsidR="001F476F" w:rsidRPr="00CE42F9" w14:paraId="207EE92A" w14:textId="77777777" w:rsidTr="001F476F">
        <w:trPr>
          <w:jc w:val="center"/>
        </w:trPr>
        <w:tc>
          <w:tcPr>
            <w:tcW w:w="895" w:type="dxa"/>
            <w:vAlign w:val="center"/>
          </w:tcPr>
          <w:p w14:paraId="5468F5EF" w14:textId="5B403270" w:rsidR="001F476F" w:rsidRPr="00CE42F9" w:rsidRDefault="001F476F" w:rsidP="00784D40">
            <w:pPr>
              <w:spacing w:after="0"/>
              <w:jc w:val="center"/>
              <w:rPr>
                <w:sz w:val="16"/>
                <w:szCs w:val="16"/>
              </w:rPr>
            </w:pPr>
            <w:r w:rsidRPr="00CE42F9">
              <w:rPr>
                <w:sz w:val="16"/>
                <w:szCs w:val="16"/>
              </w:rPr>
              <w:t>20</w:t>
            </w:r>
            <w:r>
              <w:rPr>
                <w:sz w:val="16"/>
                <w:szCs w:val="16"/>
              </w:rPr>
              <w:t>11*</w:t>
            </w:r>
          </w:p>
        </w:tc>
        <w:tc>
          <w:tcPr>
            <w:tcW w:w="990" w:type="dxa"/>
            <w:vAlign w:val="center"/>
          </w:tcPr>
          <w:p w14:paraId="59AFBA93" w14:textId="77777777" w:rsidR="001F476F" w:rsidRPr="00CE42F9" w:rsidRDefault="001F476F" w:rsidP="00BF369C">
            <w:pPr>
              <w:jc w:val="center"/>
              <w:rPr>
                <w:sz w:val="16"/>
                <w:szCs w:val="16"/>
              </w:rPr>
            </w:pPr>
          </w:p>
        </w:tc>
        <w:tc>
          <w:tcPr>
            <w:tcW w:w="990" w:type="dxa"/>
            <w:vAlign w:val="center"/>
          </w:tcPr>
          <w:p w14:paraId="459570B2" w14:textId="77777777" w:rsidR="001F476F" w:rsidRPr="00CE42F9" w:rsidRDefault="001F476F" w:rsidP="00BF369C">
            <w:pPr>
              <w:jc w:val="center"/>
              <w:rPr>
                <w:sz w:val="16"/>
                <w:szCs w:val="16"/>
              </w:rPr>
            </w:pPr>
          </w:p>
        </w:tc>
        <w:tc>
          <w:tcPr>
            <w:tcW w:w="990" w:type="dxa"/>
            <w:vAlign w:val="center"/>
          </w:tcPr>
          <w:p w14:paraId="11112798" w14:textId="77777777" w:rsidR="001F476F" w:rsidRPr="00CE42F9" w:rsidRDefault="001F476F" w:rsidP="00BF369C">
            <w:pPr>
              <w:jc w:val="center"/>
              <w:rPr>
                <w:sz w:val="16"/>
                <w:szCs w:val="16"/>
              </w:rPr>
            </w:pPr>
          </w:p>
        </w:tc>
        <w:tc>
          <w:tcPr>
            <w:tcW w:w="1080" w:type="dxa"/>
            <w:vAlign w:val="center"/>
          </w:tcPr>
          <w:p w14:paraId="5A28BE45" w14:textId="77777777" w:rsidR="001F476F" w:rsidRPr="00CE42F9" w:rsidRDefault="001F476F" w:rsidP="00BF369C">
            <w:pPr>
              <w:jc w:val="center"/>
              <w:rPr>
                <w:sz w:val="16"/>
                <w:szCs w:val="16"/>
              </w:rPr>
            </w:pPr>
          </w:p>
        </w:tc>
        <w:tc>
          <w:tcPr>
            <w:tcW w:w="1242" w:type="dxa"/>
            <w:vAlign w:val="center"/>
          </w:tcPr>
          <w:p w14:paraId="681844EA" w14:textId="77777777" w:rsidR="001F476F" w:rsidRPr="00CE42F9" w:rsidRDefault="001F476F" w:rsidP="00BF369C">
            <w:pPr>
              <w:jc w:val="center"/>
              <w:rPr>
                <w:sz w:val="16"/>
                <w:szCs w:val="16"/>
              </w:rPr>
            </w:pPr>
          </w:p>
        </w:tc>
        <w:tc>
          <w:tcPr>
            <w:tcW w:w="934" w:type="dxa"/>
            <w:vAlign w:val="center"/>
          </w:tcPr>
          <w:p w14:paraId="5382240C" w14:textId="77777777" w:rsidR="001F476F" w:rsidRPr="00CE42F9" w:rsidRDefault="001F476F" w:rsidP="00BF369C">
            <w:pPr>
              <w:jc w:val="center"/>
              <w:rPr>
                <w:sz w:val="16"/>
                <w:szCs w:val="16"/>
              </w:rPr>
            </w:pPr>
          </w:p>
        </w:tc>
        <w:tc>
          <w:tcPr>
            <w:tcW w:w="911" w:type="dxa"/>
            <w:vAlign w:val="center"/>
          </w:tcPr>
          <w:p w14:paraId="42ADCC2E" w14:textId="77777777" w:rsidR="001F476F" w:rsidRPr="00CE42F9" w:rsidRDefault="001F476F" w:rsidP="00BF369C">
            <w:pPr>
              <w:jc w:val="center"/>
              <w:rPr>
                <w:sz w:val="16"/>
                <w:szCs w:val="16"/>
              </w:rPr>
            </w:pPr>
          </w:p>
        </w:tc>
      </w:tr>
      <w:tr w:rsidR="001F476F" w:rsidRPr="00CE42F9" w14:paraId="0F2FD89A" w14:textId="77777777" w:rsidTr="001F476F">
        <w:trPr>
          <w:jc w:val="center"/>
        </w:trPr>
        <w:tc>
          <w:tcPr>
            <w:tcW w:w="895" w:type="dxa"/>
            <w:vAlign w:val="center"/>
          </w:tcPr>
          <w:p w14:paraId="3FC3ABAD" w14:textId="7266C1CE" w:rsidR="001F476F" w:rsidRPr="00CE42F9" w:rsidRDefault="001F476F" w:rsidP="00784D40">
            <w:pPr>
              <w:spacing w:after="0"/>
              <w:jc w:val="center"/>
              <w:rPr>
                <w:sz w:val="16"/>
                <w:szCs w:val="16"/>
              </w:rPr>
            </w:pPr>
            <w:r>
              <w:rPr>
                <w:sz w:val="16"/>
                <w:szCs w:val="16"/>
              </w:rPr>
              <w:t>2012</w:t>
            </w:r>
          </w:p>
        </w:tc>
        <w:tc>
          <w:tcPr>
            <w:tcW w:w="990" w:type="dxa"/>
            <w:vAlign w:val="center"/>
          </w:tcPr>
          <w:p w14:paraId="509DE742" w14:textId="77777777" w:rsidR="001F476F" w:rsidRPr="00CE42F9" w:rsidRDefault="001F476F" w:rsidP="00BF369C">
            <w:pPr>
              <w:jc w:val="center"/>
              <w:rPr>
                <w:sz w:val="16"/>
                <w:szCs w:val="16"/>
              </w:rPr>
            </w:pPr>
          </w:p>
        </w:tc>
        <w:tc>
          <w:tcPr>
            <w:tcW w:w="990" w:type="dxa"/>
            <w:vAlign w:val="center"/>
          </w:tcPr>
          <w:p w14:paraId="54BDBFE4" w14:textId="77777777" w:rsidR="001F476F" w:rsidRPr="00CE42F9" w:rsidRDefault="001F476F" w:rsidP="00BF369C">
            <w:pPr>
              <w:jc w:val="center"/>
              <w:rPr>
                <w:sz w:val="16"/>
                <w:szCs w:val="16"/>
              </w:rPr>
            </w:pPr>
          </w:p>
        </w:tc>
        <w:tc>
          <w:tcPr>
            <w:tcW w:w="990" w:type="dxa"/>
            <w:vAlign w:val="center"/>
          </w:tcPr>
          <w:p w14:paraId="0E7783C5" w14:textId="77777777" w:rsidR="001F476F" w:rsidRPr="00CE42F9" w:rsidRDefault="001F476F" w:rsidP="00BF369C">
            <w:pPr>
              <w:jc w:val="center"/>
              <w:rPr>
                <w:sz w:val="16"/>
                <w:szCs w:val="16"/>
              </w:rPr>
            </w:pPr>
          </w:p>
        </w:tc>
        <w:tc>
          <w:tcPr>
            <w:tcW w:w="1080" w:type="dxa"/>
            <w:vAlign w:val="center"/>
          </w:tcPr>
          <w:p w14:paraId="1A06CC4C" w14:textId="77777777" w:rsidR="001F476F" w:rsidRPr="00CE42F9" w:rsidRDefault="001F476F" w:rsidP="00BF369C">
            <w:pPr>
              <w:jc w:val="center"/>
              <w:rPr>
                <w:sz w:val="16"/>
                <w:szCs w:val="16"/>
              </w:rPr>
            </w:pPr>
          </w:p>
        </w:tc>
        <w:tc>
          <w:tcPr>
            <w:tcW w:w="1242" w:type="dxa"/>
            <w:vAlign w:val="center"/>
          </w:tcPr>
          <w:p w14:paraId="11D84E23" w14:textId="77777777" w:rsidR="001F476F" w:rsidRPr="00CE42F9" w:rsidRDefault="001F476F" w:rsidP="00BF369C">
            <w:pPr>
              <w:jc w:val="center"/>
              <w:rPr>
                <w:sz w:val="16"/>
                <w:szCs w:val="16"/>
              </w:rPr>
            </w:pPr>
          </w:p>
        </w:tc>
        <w:tc>
          <w:tcPr>
            <w:tcW w:w="934" w:type="dxa"/>
            <w:vAlign w:val="center"/>
          </w:tcPr>
          <w:p w14:paraId="610E843A" w14:textId="77777777" w:rsidR="001F476F" w:rsidRPr="00CE42F9" w:rsidRDefault="001F476F" w:rsidP="00BF369C">
            <w:pPr>
              <w:jc w:val="center"/>
              <w:rPr>
                <w:sz w:val="16"/>
                <w:szCs w:val="16"/>
              </w:rPr>
            </w:pPr>
          </w:p>
        </w:tc>
        <w:tc>
          <w:tcPr>
            <w:tcW w:w="911" w:type="dxa"/>
            <w:vAlign w:val="center"/>
          </w:tcPr>
          <w:p w14:paraId="04F391DF" w14:textId="77777777" w:rsidR="001F476F" w:rsidRPr="00CE42F9" w:rsidRDefault="001F476F" w:rsidP="00BF369C">
            <w:pPr>
              <w:jc w:val="center"/>
              <w:rPr>
                <w:sz w:val="16"/>
                <w:szCs w:val="16"/>
              </w:rPr>
            </w:pPr>
          </w:p>
        </w:tc>
      </w:tr>
      <w:tr w:rsidR="001F476F" w:rsidRPr="00CE42F9" w14:paraId="78B8C408" w14:textId="77777777" w:rsidTr="001F476F">
        <w:trPr>
          <w:jc w:val="center"/>
        </w:trPr>
        <w:tc>
          <w:tcPr>
            <w:tcW w:w="895" w:type="dxa"/>
            <w:vAlign w:val="center"/>
          </w:tcPr>
          <w:p w14:paraId="39955573" w14:textId="2BDE1666" w:rsidR="001F476F" w:rsidRPr="00CE42F9" w:rsidRDefault="001F476F" w:rsidP="00784D40">
            <w:pPr>
              <w:spacing w:after="0"/>
              <w:jc w:val="center"/>
              <w:rPr>
                <w:sz w:val="16"/>
                <w:szCs w:val="16"/>
              </w:rPr>
            </w:pPr>
            <w:r>
              <w:rPr>
                <w:sz w:val="16"/>
                <w:szCs w:val="16"/>
              </w:rPr>
              <w:t>2013</w:t>
            </w:r>
          </w:p>
        </w:tc>
        <w:tc>
          <w:tcPr>
            <w:tcW w:w="990" w:type="dxa"/>
            <w:vAlign w:val="center"/>
          </w:tcPr>
          <w:p w14:paraId="30FBFDE3" w14:textId="77777777" w:rsidR="001F476F" w:rsidRPr="00CE42F9" w:rsidRDefault="001F476F" w:rsidP="00BF369C">
            <w:pPr>
              <w:jc w:val="center"/>
              <w:rPr>
                <w:sz w:val="16"/>
                <w:szCs w:val="16"/>
              </w:rPr>
            </w:pPr>
          </w:p>
        </w:tc>
        <w:tc>
          <w:tcPr>
            <w:tcW w:w="990" w:type="dxa"/>
            <w:vAlign w:val="center"/>
          </w:tcPr>
          <w:p w14:paraId="4E47B086" w14:textId="77777777" w:rsidR="001F476F" w:rsidRPr="00CE42F9" w:rsidRDefault="001F476F" w:rsidP="00BF369C">
            <w:pPr>
              <w:jc w:val="center"/>
              <w:rPr>
                <w:sz w:val="16"/>
                <w:szCs w:val="16"/>
              </w:rPr>
            </w:pPr>
          </w:p>
        </w:tc>
        <w:tc>
          <w:tcPr>
            <w:tcW w:w="990" w:type="dxa"/>
            <w:vAlign w:val="center"/>
          </w:tcPr>
          <w:p w14:paraId="2F4BF453" w14:textId="77777777" w:rsidR="001F476F" w:rsidRPr="00CE42F9" w:rsidRDefault="001F476F" w:rsidP="00BF369C">
            <w:pPr>
              <w:jc w:val="center"/>
              <w:rPr>
                <w:sz w:val="16"/>
                <w:szCs w:val="16"/>
              </w:rPr>
            </w:pPr>
          </w:p>
        </w:tc>
        <w:tc>
          <w:tcPr>
            <w:tcW w:w="1080" w:type="dxa"/>
            <w:vAlign w:val="center"/>
          </w:tcPr>
          <w:p w14:paraId="0FE8E05C" w14:textId="77777777" w:rsidR="001F476F" w:rsidRPr="00CE42F9" w:rsidRDefault="001F476F" w:rsidP="00BF369C">
            <w:pPr>
              <w:jc w:val="center"/>
              <w:rPr>
                <w:sz w:val="16"/>
                <w:szCs w:val="16"/>
              </w:rPr>
            </w:pPr>
          </w:p>
        </w:tc>
        <w:tc>
          <w:tcPr>
            <w:tcW w:w="1242" w:type="dxa"/>
            <w:vAlign w:val="center"/>
          </w:tcPr>
          <w:p w14:paraId="73F3D27B" w14:textId="77777777" w:rsidR="001F476F" w:rsidRPr="00CE42F9" w:rsidRDefault="001F476F" w:rsidP="00BF369C">
            <w:pPr>
              <w:jc w:val="center"/>
              <w:rPr>
                <w:sz w:val="16"/>
                <w:szCs w:val="16"/>
              </w:rPr>
            </w:pPr>
          </w:p>
        </w:tc>
        <w:tc>
          <w:tcPr>
            <w:tcW w:w="934" w:type="dxa"/>
            <w:vAlign w:val="center"/>
          </w:tcPr>
          <w:p w14:paraId="2DA98FDB" w14:textId="77777777" w:rsidR="001F476F" w:rsidRPr="00CE42F9" w:rsidRDefault="001F476F" w:rsidP="00BF369C">
            <w:pPr>
              <w:jc w:val="center"/>
              <w:rPr>
                <w:sz w:val="16"/>
                <w:szCs w:val="16"/>
              </w:rPr>
            </w:pPr>
          </w:p>
        </w:tc>
        <w:tc>
          <w:tcPr>
            <w:tcW w:w="911" w:type="dxa"/>
            <w:vAlign w:val="center"/>
          </w:tcPr>
          <w:p w14:paraId="5D0089F1" w14:textId="77777777" w:rsidR="001F476F" w:rsidRPr="00CE42F9" w:rsidRDefault="001F476F" w:rsidP="00BF369C">
            <w:pPr>
              <w:jc w:val="center"/>
              <w:rPr>
                <w:sz w:val="16"/>
                <w:szCs w:val="16"/>
              </w:rPr>
            </w:pPr>
          </w:p>
        </w:tc>
      </w:tr>
      <w:tr w:rsidR="001F476F" w:rsidRPr="00CE42F9" w14:paraId="08527A04" w14:textId="77777777" w:rsidTr="001F476F">
        <w:trPr>
          <w:jc w:val="center"/>
        </w:trPr>
        <w:tc>
          <w:tcPr>
            <w:tcW w:w="895" w:type="dxa"/>
            <w:vAlign w:val="center"/>
          </w:tcPr>
          <w:p w14:paraId="63454CCF" w14:textId="6F732C81" w:rsidR="001F476F" w:rsidRPr="00CE42F9" w:rsidRDefault="001F476F" w:rsidP="00784D40">
            <w:pPr>
              <w:spacing w:after="0"/>
              <w:jc w:val="center"/>
              <w:rPr>
                <w:sz w:val="16"/>
                <w:szCs w:val="16"/>
              </w:rPr>
            </w:pPr>
            <w:r>
              <w:rPr>
                <w:sz w:val="16"/>
                <w:szCs w:val="16"/>
              </w:rPr>
              <w:t>2014</w:t>
            </w:r>
          </w:p>
        </w:tc>
        <w:tc>
          <w:tcPr>
            <w:tcW w:w="990" w:type="dxa"/>
            <w:vAlign w:val="center"/>
          </w:tcPr>
          <w:p w14:paraId="74A07C3C" w14:textId="77777777" w:rsidR="001F476F" w:rsidRPr="00CE42F9" w:rsidRDefault="001F476F" w:rsidP="00BF369C">
            <w:pPr>
              <w:jc w:val="center"/>
              <w:rPr>
                <w:sz w:val="16"/>
                <w:szCs w:val="16"/>
              </w:rPr>
            </w:pPr>
          </w:p>
        </w:tc>
        <w:tc>
          <w:tcPr>
            <w:tcW w:w="990" w:type="dxa"/>
            <w:vAlign w:val="center"/>
          </w:tcPr>
          <w:p w14:paraId="4BCAFE3C" w14:textId="77777777" w:rsidR="001F476F" w:rsidRPr="00CE42F9" w:rsidRDefault="001F476F" w:rsidP="00BF369C">
            <w:pPr>
              <w:jc w:val="center"/>
              <w:rPr>
                <w:sz w:val="16"/>
                <w:szCs w:val="16"/>
              </w:rPr>
            </w:pPr>
          </w:p>
        </w:tc>
        <w:tc>
          <w:tcPr>
            <w:tcW w:w="990" w:type="dxa"/>
            <w:vAlign w:val="center"/>
          </w:tcPr>
          <w:p w14:paraId="45882820" w14:textId="77777777" w:rsidR="001F476F" w:rsidRPr="00CE42F9" w:rsidRDefault="001F476F" w:rsidP="00BF369C">
            <w:pPr>
              <w:jc w:val="center"/>
              <w:rPr>
                <w:sz w:val="16"/>
                <w:szCs w:val="16"/>
              </w:rPr>
            </w:pPr>
          </w:p>
        </w:tc>
        <w:tc>
          <w:tcPr>
            <w:tcW w:w="1080" w:type="dxa"/>
            <w:vAlign w:val="center"/>
          </w:tcPr>
          <w:p w14:paraId="137835C9" w14:textId="77777777" w:rsidR="001F476F" w:rsidRPr="00CE42F9" w:rsidRDefault="001F476F" w:rsidP="00BF369C">
            <w:pPr>
              <w:jc w:val="center"/>
              <w:rPr>
                <w:sz w:val="16"/>
                <w:szCs w:val="16"/>
              </w:rPr>
            </w:pPr>
          </w:p>
        </w:tc>
        <w:tc>
          <w:tcPr>
            <w:tcW w:w="1242" w:type="dxa"/>
            <w:vAlign w:val="center"/>
          </w:tcPr>
          <w:p w14:paraId="05B4118D" w14:textId="77777777" w:rsidR="001F476F" w:rsidRPr="00CE42F9" w:rsidRDefault="001F476F" w:rsidP="00BF369C">
            <w:pPr>
              <w:jc w:val="center"/>
              <w:rPr>
                <w:sz w:val="16"/>
                <w:szCs w:val="16"/>
              </w:rPr>
            </w:pPr>
          </w:p>
        </w:tc>
        <w:tc>
          <w:tcPr>
            <w:tcW w:w="934" w:type="dxa"/>
            <w:vAlign w:val="center"/>
          </w:tcPr>
          <w:p w14:paraId="51D9AFCF" w14:textId="77777777" w:rsidR="001F476F" w:rsidRPr="00CE42F9" w:rsidRDefault="001F476F" w:rsidP="00BF369C">
            <w:pPr>
              <w:jc w:val="center"/>
              <w:rPr>
                <w:sz w:val="16"/>
                <w:szCs w:val="16"/>
              </w:rPr>
            </w:pPr>
          </w:p>
        </w:tc>
        <w:tc>
          <w:tcPr>
            <w:tcW w:w="911" w:type="dxa"/>
            <w:vAlign w:val="center"/>
          </w:tcPr>
          <w:p w14:paraId="273A72CA" w14:textId="77777777" w:rsidR="001F476F" w:rsidRPr="00CE42F9" w:rsidRDefault="001F476F" w:rsidP="00BF369C">
            <w:pPr>
              <w:jc w:val="center"/>
              <w:rPr>
                <w:sz w:val="16"/>
                <w:szCs w:val="16"/>
              </w:rPr>
            </w:pPr>
          </w:p>
        </w:tc>
      </w:tr>
      <w:tr w:rsidR="001F476F" w:rsidRPr="00CE42F9" w14:paraId="63DE8956" w14:textId="77777777" w:rsidTr="001F476F">
        <w:trPr>
          <w:jc w:val="center"/>
        </w:trPr>
        <w:tc>
          <w:tcPr>
            <w:tcW w:w="895" w:type="dxa"/>
            <w:vAlign w:val="center"/>
          </w:tcPr>
          <w:p w14:paraId="5F1F9BA1" w14:textId="1CE8FDCA" w:rsidR="001F476F" w:rsidRPr="00CE42F9" w:rsidRDefault="001F476F" w:rsidP="00784D40">
            <w:pPr>
              <w:spacing w:after="0"/>
              <w:jc w:val="center"/>
              <w:rPr>
                <w:sz w:val="16"/>
                <w:szCs w:val="16"/>
              </w:rPr>
            </w:pPr>
            <w:r>
              <w:rPr>
                <w:sz w:val="16"/>
                <w:szCs w:val="16"/>
              </w:rPr>
              <w:t>2015</w:t>
            </w:r>
          </w:p>
        </w:tc>
        <w:tc>
          <w:tcPr>
            <w:tcW w:w="990" w:type="dxa"/>
            <w:vAlign w:val="center"/>
          </w:tcPr>
          <w:p w14:paraId="5AA267D2" w14:textId="77777777" w:rsidR="001F476F" w:rsidRPr="00CE42F9" w:rsidRDefault="001F476F" w:rsidP="00BF369C">
            <w:pPr>
              <w:jc w:val="center"/>
              <w:rPr>
                <w:sz w:val="16"/>
                <w:szCs w:val="16"/>
              </w:rPr>
            </w:pPr>
          </w:p>
        </w:tc>
        <w:tc>
          <w:tcPr>
            <w:tcW w:w="990" w:type="dxa"/>
            <w:vAlign w:val="center"/>
          </w:tcPr>
          <w:p w14:paraId="2375D88E" w14:textId="77777777" w:rsidR="001F476F" w:rsidRPr="00CE42F9" w:rsidRDefault="001F476F" w:rsidP="00BF369C">
            <w:pPr>
              <w:jc w:val="center"/>
              <w:rPr>
                <w:sz w:val="16"/>
                <w:szCs w:val="16"/>
              </w:rPr>
            </w:pPr>
          </w:p>
        </w:tc>
        <w:tc>
          <w:tcPr>
            <w:tcW w:w="990" w:type="dxa"/>
            <w:vAlign w:val="center"/>
          </w:tcPr>
          <w:p w14:paraId="7B017D53" w14:textId="77777777" w:rsidR="001F476F" w:rsidRPr="00CE42F9" w:rsidRDefault="001F476F" w:rsidP="00BF369C">
            <w:pPr>
              <w:jc w:val="center"/>
              <w:rPr>
                <w:sz w:val="16"/>
                <w:szCs w:val="16"/>
              </w:rPr>
            </w:pPr>
          </w:p>
        </w:tc>
        <w:tc>
          <w:tcPr>
            <w:tcW w:w="1080" w:type="dxa"/>
            <w:vAlign w:val="center"/>
          </w:tcPr>
          <w:p w14:paraId="0331CCC5" w14:textId="77777777" w:rsidR="001F476F" w:rsidRPr="00CE42F9" w:rsidRDefault="001F476F" w:rsidP="00BF369C">
            <w:pPr>
              <w:jc w:val="center"/>
              <w:rPr>
                <w:sz w:val="16"/>
                <w:szCs w:val="16"/>
              </w:rPr>
            </w:pPr>
          </w:p>
        </w:tc>
        <w:tc>
          <w:tcPr>
            <w:tcW w:w="1242" w:type="dxa"/>
            <w:vAlign w:val="center"/>
          </w:tcPr>
          <w:p w14:paraId="28895F89" w14:textId="77777777" w:rsidR="001F476F" w:rsidRPr="00CE42F9" w:rsidRDefault="001F476F" w:rsidP="00BF369C">
            <w:pPr>
              <w:jc w:val="center"/>
              <w:rPr>
                <w:sz w:val="16"/>
                <w:szCs w:val="16"/>
              </w:rPr>
            </w:pPr>
          </w:p>
        </w:tc>
        <w:tc>
          <w:tcPr>
            <w:tcW w:w="934" w:type="dxa"/>
            <w:vAlign w:val="center"/>
          </w:tcPr>
          <w:p w14:paraId="588BD180" w14:textId="77777777" w:rsidR="001F476F" w:rsidRPr="00CE42F9" w:rsidRDefault="001F476F" w:rsidP="00BF369C">
            <w:pPr>
              <w:jc w:val="center"/>
              <w:rPr>
                <w:sz w:val="16"/>
                <w:szCs w:val="16"/>
              </w:rPr>
            </w:pPr>
          </w:p>
        </w:tc>
        <w:tc>
          <w:tcPr>
            <w:tcW w:w="911" w:type="dxa"/>
            <w:vAlign w:val="center"/>
          </w:tcPr>
          <w:p w14:paraId="06F0EDC6" w14:textId="77777777" w:rsidR="001F476F" w:rsidRPr="00CE42F9" w:rsidRDefault="001F476F" w:rsidP="00BF369C">
            <w:pPr>
              <w:jc w:val="center"/>
              <w:rPr>
                <w:sz w:val="16"/>
                <w:szCs w:val="16"/>
              </w:rPr>
            </w:pPr>
          </w:p>
        </w:tc>
      </w:tr>
      <w:tr w:rsidR="001F476F" w:rsidRPr="00CE42F9" w14:paraId="4652A1E2" w14:textId="77777777" w:rsidTr="001F476F">
        <w:trPr>
          <w:jc w:val="center"/>
        </w:trPr>
        <w:tc>
          <w:tcPr>
            <w:tcW w:w="895" w:type="dxa"/>
            <w:vAlign w:val="center"/>
          </w:tcPr>
          <w:p w14:paraId="6B47A239" w14:textId="530F6991" w:rsidR="001F476F" w:rsidRPr="00CE42F9" w:rsidRDefault="001F476F" w:rsidP="00784D40">
            <w:pPr>
              <w:spacing w:after="0"/>
              <w:jc w:val="center"/>
              <w:rPr>
                <w:sz w:val="16"/>
                <w:szCs w:val="16"/>
              </w:rPr>
            </w:pPr>
            <w:r>
              <w:rPr>
                <w:sz w:val="16"/>
                <w:szCs w:val="16"/>
              </w:rPr>
              <w:t>2016</w:t>
            </w:r>
          </w:p>
        </w:tc>
        <w:tc>
          <w:tcPr>
            <w:tcW w:w="990" w:type="dxa"/>
            <w:vAlign w:val="center"/>
          </w:tcPr>
          <w:p w14:paraId="362759D2" w14:textId="77777777" w:rsidR="001F476F" w:rsidRPr="00CE42F9" w:rsidRDefault="001F476F" w:rsidP="00BF369C">
            <w:pPr>
              <w:jc w:val="center"/>
              <w:rPr>
                <w:sz w:val="16"/>
                <w:szCs w:val="16"/>
              </w:rPr>
            </w:pPr>
          </w:p>
        </w:tc>
        <w:tc>
          <w:tcPr>
            <w:tcW w:w="990" w:type="dxa"/>
            <w:vAlign w:val="center"/>
          </w:tcPr>
          <w:p w14:paraId="1EADA389" w14:textId="77777777" w:rsidR="001F476F" w:rsidRPr="00CE42F9" w:rsidRDefault="001F476F" w:rsidP="00BF369C">
            <w:pPr>
              <w:jc w:val="center"/>
              <w:rPr>
                <w:sz w:val="16"/>
                <w:szCs w:val="16"/>
              </w:rPr>
            </w:pPr>
          </w:p>
        </w:tc>
        <w:tc>
          <w:tcPr>
            <w:tcW w:w="990" w:type="dxa"/>
            <w:vAlign w:val="center"/>
          </w:tcPr>
          <w:p w14:paraId="066774DF" w14:textId="77777777" w:rsidR="001F476F" w:rsidRPr="00CE42F9" w:rsidRDefault="001F476F" w:rsidP="00BF369C">
            <w:pPr>
              <w:jc w:val="center"/>
              <w:rPr>
                <w:sz w:val="16"/>
                <w:szCs w:val="16"/>
              </w:rPr>
            </w:pPr>
          </w:p>
        </w:tc>
        <w:tc>
          <w:tcPr>
            <w:tcW w:w="1080" w:type="dxa"/>
            <w:vAlign w:val="center"/>
          </w:tcPr>
          <w:p w14:paraId="49FB4808" w14:textId="77777777" w:rsidR="001F476F" w:rsidRPr="00CE42F9" w:rsidRDefault="001F476F" w:rsidP="00BF369C">
            <w:pPr>
              <w:jc w:val="center"/>
              <w:rPr>
                <w:sz w:val="16"/>
                <w:szCs w:val="16"/>
              </w:rPr>
            </w:pPr>
          </w:p>
        </w:tc>
        <w:tc>
          <w:tcPr>
            <w:tcW w:w="1242" w:type="dxa"/>
            <w:vAlign w:val="center"/>
          </w:tcPr>
          <w:p w14:paraId="48073D83" w14:textId="77777777" w:rsidR="001F476F" w:rsidRPr="00CE42F9" w:rsidRDefault="001F476F" w:rsidP="00BF369C">
            <w:pPr>
              <w:jc w:val="center"/>
              <w:rPr>
                <w:sz w:val="16"/>
                <w:szCs w:val="16"/>
              </w:rPr>
            </w:pPr>
          </w:p>
        </w:tc>
        <w:tc>
          <w:tcPr>
            <w:tcW w:w="934" w:type="dxa"/>
            <w:vAlign w:val="center"/>
          </w:tcPr>
          <w:p w14:paraId="4ED4230E" w14:textId="77777777" w:rsidR="001F476F" w:rsidRPr="00CE42F9" w:rsidRDefault="001F476F" w:rsidP="00BF369C">
            <w:pPr>
              <w:jc w:val="center"/>
              <w:rPr>
                <w:sz w:val="16"/>
                <w:szCs w:val="16"/>
              </w:rPr>
            </w:pPr>
          </w:p>
        </w:tc>
        <w:tc>
          <w:tcPr>
            <w:tcW w:w="911" w:type="dxa"/>
            <w:vAlign w:val="center"/>
          </w:tcPr>
          <w:p w14:paraId="3B51A5CE" w14:textId="77777777" w:rsidR="001F476F" w:rsidRPr="00CE42F9" w:rsidRDefault="001F476F" w:rsidP="00BF369C">
            <w:pPr>
              <w:jc w:val="center"/>
              <w:rPr>
                <w:sz w:val="16"/>
                <w:szCs w:val="16"/>
              </w:rPr>
            </w:pPr>
          </w:p>
        </w:tc>
      </w:tr>
      <w:tr w:rsidR="001F476F" w:rsidRPr="00CE42F9" w14:paraId="754FEBE4" w14:textId="77777777" w:rsidTr="001F476F">
        <w:trPr>
          <w:jc w:val="center"/>
        </w:trPr>
        <w:tc>
          <w:tcPr>
            <w:tcW w:w="895" w:type="dxa"/>
            <w:vAlign w:val="center"/>
          </w:tcPr>
          <w:p w14:paraId="6B1930F8" w14:textId="09EA503D" w:rsidR="001F476F" w:rsidRPr="00CE42F9" w:rsidRDefault="001F476F" w:rsidP="00784D40">
            <w:pPr>
              <w:spacing w:after="0"/>
              <w:jc w:val="center"/>
              <w:rPr>
                <w:sz w:val="16"/>
                <w:szCs w:val="16"/>
              </w:rPr>
            </w:pPr>
            <w:r>
              <w:rPr>
                <w:sz w:val="16"/>
                <w:szCs w:val="16"/>
              </w:rPr>
              <w:t>2017</w:t>
            </w:r>
          </w:p>
        </w:tc>
        <w:tc>
          <w:tcPr>
            <w:tcW w:w="990" w:type="dxa"/>
            <w:vAlign w:val="center"/>
          </w:tcPr>
          <w:p w14:paraId="40787A14" w14:textId="77777777" w:rsidR="001F476F" w:rsidRPr="00CE42F9" w:rsidRDefault="001F476F" w:rsidP="00BF369C">
            <w:pPr>
              <w:jc w:val="center"/>
              <w:rPr>
                <w:sz w:val="16"/>
                <w:szCs w:val="16"/>
              </w:rPr>
            </w:pPr>
          </w:p>
        </w:tc>
        <w:tc>
          <w:tcPr>
            <w:tcW w:w="990" w:type="dxa"/>
            <w:vAlign w:val="center"/>
          </w:tcPr>
          <w:p w14:paraId="68F01EF7" w14:textId="77777777" w:rsidR="001F476F" w:rsidRPr="00CE42F9" w:rsidRDefault="001F476F" w:rsidP="00BF369C">
            <w:pPr>
              <w:jc w:val="center"/>
              <w:rPr>
                <w:sz w:val="16"/>
                <w:szCs w:val="16"/>
              </w:rPr>
            </w:pPr>
          </w:p>
        </w:tc>
        <w:tc>
          <w:tcPr>
            <w:tcW w:w="990" w:type="dxa"/>
            <w:vAlign w:val="center"/>
          </w:tcPr>
          <w:p w14:paraId="5EE0D16E" w14:textId="77777777" w:rsidR="001F476F" w:rsidRPr="00CE42F9" w:rsidRDefault="001F476F" w:rsidP="00BF369C">
            <w:pPr>
              <w:jc w:val="center"/>
              <w:rPr>
                <w:sz w:val="16"/>
                <w:szCs w:val="16"/>
              </w:rPr>
            </w:pPr>
          </w:p>
        </w:tc>
        <w:tc>
          <w:tcPr>
            <w:tcW w:w="1080" w:type="dxa"/>
            <w:vAlign w:val="center"/>
          </w:tcPr>
          <w:p w14:paraId="71CF51C8" w14:textId="77777777" w:rsidR="001F476F" w:rsidRPr="00CE42F9" w:rsidRDefault="001F476F" w:rsidP="00BF369C">
            <w:pPr>
              <w:jc w:val="center"/>
              <w:rPr>
                <w:sz w:val="16"/>
                <w:szCs w:val="16"/>
              </w:rPr>
            </w:pPr>
          </w:p>
        </w:tc>
        <w:tc>
          <w:tcPr>
            <w:tcW w:w="1242" w:type="dxa"/>
            <w:vAlign w:val="center"/>
          </w:tcPr>
          <w:p w14:paraId="39816A48" w14:textId="77777777" w:rsidR="001F476F" w:rsidRPr="00CE42F9" w:rsidRDefault="001F476F" w:rsidP="00BF369C">
            <w:pPr>
              <w:jc w:val="center"/>
              <w:rPr>
                <w:sz w:val="16"/>
                <w:szCs w:val="16"/>
              </w:rPr>
            </w:pPr>
          </w:p>
        </w:tc>
        <w:tc>
          <w:tcPr>
            <w:tcW w:w="934" w:type="dxa"/>
            <w:vAlign w:val="center"/>
          </w:tcPr>
          <w:p w14:paraId="70BF68A4" w14:textId="77777777" w:rsidR="001F476F" w:rsidRPr="00CE42F9" w:rsidRDefault="001F476F" w:rsidP="00BF369C">
            <w:pPr>
              <w:jc w:val="center"/>
              <w:rPr>
                <w:sz w:val="16"/>
                <w:szCs w:val="16"/>
              </w:rPr>
            </w:pPr>
          </w:p>
        </w:tc>
        <w:tc>
          <w:tcPr>
            <w:tcW w:w="911" w:type="dxa"/>
            <w:vAlign w:val="center"/>
          </w:tcPr>
          <w:p w14:paraId="7A1E3E7B" w14:textId="77777777" w:rsidR="001F476F" w:rsidRPr="00CE42F9" w:rsidRDefault="001F476F" w:rsidP="00BF369C">
            <w:pPr>
              <w:jc w:val="center"/>
              <w:rPr>
                <w:sz w:val="16"/>
                <w:szCs w:val="16"/>
              </w:rPr>
            </w:pPr>
          </w:p>
        </w:tc>
      </w:tr>
      <w:tr w:rsidR="001F476F" w:rsidRPr="00CE42F9" w14:paraId="70250291" w14:textId="77777777" w:rsidTr="001F476F">
        <w:trPr>
          <w:jc w:val="center"/>
        </w:trPr>
        <w:tc>
          <w:tcPr>
            <w:tcW w:w="895" w:type="dxa"/>
            <w:vAlign w:val="center"/>
          </w:tcPr>
          <w:p w14:paraId="161989BC" w14:textId="248E9AD5" w:rsidR="001F476F" w:rsidRPr="00CE42F9" w:rsidRDefault="001F476F" w:rsidP="00784D40">
            <w:pPr>
              <w:spacing w:after="0"/>
              <w:jc w:val="center"/>
              <w:rPr>
                <w:sz w:val="16"/>
                <w:szCs w:val="16"/>
              </w:rPr>
            </w:pPr>
            <w:r>
              <w:rPr>
                <w:sz w:val="16"/>
                <w:szCs w:val="16"/>
              </w:rPr>
              <w:t>2018</w:t>
            </w:r>
          </w:p>
        </w:tc>
        <w:tc>
          <w:tcPr>
            <w:tcW w:w="990" w:type="dxa"/>
            <w:vAlign w:val="center"/>
          </w:tcPr>
          <w:p w14:paraId="6CC5A72B" w14:textId="77777777" w:rsidR="001F476F" w:rsidRPr="00CE42F9" w:rsidRDefault="001F476F" w:rsidP="00BF369C">
            <w:pPr>
              <w:jc w:val="center"/>
              <w:rPr>
                <w:sz w:val="16"/>
                <w:szCs w:val="16"/>
              </w:rPr>
            </w:pPr>
          </w:p>
        </w:tc>
        <w:tc>
          <w:tcPr>
            <w:tcW w:w="990" w:type="dxa"/>
            <w:vAlign w:val="center"/>
          </w:tcPr>
          <w:p w14:paraId="75AB0D76" w14:textId="77777777" w:rsidR="001F476F" w:rsidRPr="00CE42F9" w:rsidRDefault="001F476F" w:rsidP="00BF369C">
            <w:pPr>
              <w:jc w:val="center"/>
              <w:rPr>
                <w:sz w:val="16"/>
                <w:szCs w:val="16"/>
              </w:rPr>
            </w:pPr>
          </w:p>
        </w:tc>
        <w:tc>
          <w:tcPr>
            <w:tcW w:w="990" w:type="dxa"/>
            <w:vAlign w:val="center"/>
          </w:tcPr>
          <w:p w14:paraId="3E3056FC" w14:textId="77777777" w:rsidR="001F476F" w:rsidRPr="00CE42F9" w:rsidRDefault="001F476F" w:rsidP="00BF369C">
            <w:pPr>
              <w:jc w:val="center"/>
              <w:rPr>
                <w:sz w:val="16"/>
                <w:szCs w:val="16"/>
              </w:rPr>
            </w:pPr>
          </w:p>
        </w:tc>
        <w:tc>
          <w:tcPr>
            <w:tcW w:w="1080" w:type="dxa"/>
            <w:vAlign w:val="center"/>
          </w:tcPr>
          <w:p w14:paraId="5F85E9C5" w14:textId="77777777" w:rsidR="001F476F" w:rsidRPr="00CE42F9" w:rsidRDefault="001F476F" w:rsidP="00BF369C">
            <w:pPr>
              <w:jc w:val="center"/>
              <w:rPr>
                <w:sz w:val="16"/>
                <w:szCs w:val="16"/>
              </w:rPr>
            </w:pPr>
          </w:p>
        </w:tc>
        <w:tc>
          <w:tcPr>
            <w:tcW w:w="1242" w:type="dxa"/>
            <w:vAlign w:val="center"/>
          </w:tcPr>
          <w:p w14:paraId="2F661DCF" w14:textId="77777777" w:rsidR="001F476F" w:rsidRPr="00CE42F9" w:rsidRDefault="001F476F" w:rsidP="00BF369C">
            <w:pPr>
              <w:jc w:val="center"/>
              <w:rPr>
                <w:sz w:val="16"/>
                <w:szCs w:val="16"/>
              </w:rPr>
            </w:pPr>
          </w:p>
        </w:tc>
        <w:tc>
          <w:tcPr>
            <w:tcW w:w="934" w:type="dxa"/>
            <w:vAlign w:val="center"/>
          </w:tcPr>
          <w:p w14:paraId="5662C65E" w14:textId="77777777" w:rsidR="001F476F" w:rsidRPr="00CE42F9" w:rsidRDefault="001F476F" w:rsidP="00BF369C">
            <w:pPr>
              <w:jc w:val="center"/>
              <w:rPr>
                <w:sz w:val="16"/>
                <w:szCs w:val="16"/>
              </w:rPr>
            </w:pPr>
          </w:p>
        </w:tc>
        <w:tc>
          <w:tcPr>
            <w:tcW w:w="911" w:type="dxa"/>
            <w:vAlign w:val="center"/>
          </w:tcPr>
          <w:p w14:paraId="2660F1B2" w14:textId="77777777" w:rsidR="001F476F" w:rsidRPr="00CE42F9" w:rsidRDefault="001F476F" w:rsidP="00BF369C">
            <w:pPr>
              <w:jc w:val="center"/>
              <w:rPr>
                <w:sz w:val="16"/>
                <w:szCs w:val="16"/>
              </w:rPr>
            </w:pPr>
          </w:p>
        </w:tc>
      </w:tr>
      <w:tr w:rsidR="001F476F" w:rsidRPr="00CE42F9" w14:paraId="28CC6664" w14:textId="77777777" w:rsidTr="001F476F">
        <w:trPr>
          <w:jc w:val="center"/>
        </w:trPr>
        <w:tc>
          <w:tcPr>
            <w:tcW w:w="895" w:type="dxa"/>
            <w:vAlign w:val="center"/>
          </w:tcPr>
          <w:p w14:paraId="56E06AC3" w14:textId="7BDBEF17" w:rsidR="001F476F" w:rsidRPr="00CE42F9" w:rsidRDefault="001F476F" w:rsidP="00784D40">
            <w:pPr>
              <w:spacing w:after="0"/>
              <w:jc w:val="center"/>
              <w:rPr>
                <w:sz w:val="16"/>
                <w:szCs w:val="16"/>
              </w:rPr>
            </w:pPr>
            <w:r>
              <w:rPr>
                <w:sz w:val="16"/>
                <w:szCs w:val="16"/>
              </w:rPr>
              <w:t>2019</w:t>
            </w:r>
          </w:p>
        </w:tc>
        <w:tc>
          <w:tcPr>
            <w:tcW w:w="990" w:type="dxa"/>
            <w:vAlign w:val="center"/>
          </w:tcPr>
          <w:p w14:paraId="7A6C9EDE" w14:textId="77777777" w:rsidR="001F476F" w:rsidRPr="00CE42F9" w:rsidRDefault="001F476F" w:rsidP="00BF369C">
            <w:pPr>
              <w:jc w:val="center"/>
              <w:rPr>
                <w:sz w:val="16"/>
                <w:szCs w:val="16"/>
              </w:rPr>
            </w:pPr>
          </w:p>
        </w:tc>
        <w:tc>
          <w:tcPr>
            <w:tcW w:w="990" w:type="dxa"/>
            <w:vAlign w:val="center"/>
          </w:tcPr>
          <w:p w14:paraId="3417974C" w14:textId="77777777" w:rsidR="001F476F" w:rsidRPr="00CE42F9" w:rsidRDefault="001F476F" w:rsidP="00BF369C">
            <w:pPr>
              <w:jc w:val="center"/>
              <w:rPr>
                <w:sz w:val="16"/>
                <w:szCs w:val="16"/>
              </w:rPr>
            </w:pPr>
          </w:p>
        </w:tc>
        <w:tc>
          <w:tcPr>
            <w:tcW w:w="990" w:type="dxa"/>
            <w:vAlign w:val="center"/>
          </w:tcPr>
          <w:p w14:paraId="081400C6" w14:textId="77777777" w:rsidR="001F476F" w:rsidRPr="00CE42F9" w:rsidRDefault="001F476F" w:rsidP="00BF369C">
            <w:pPr>
              <w:jc w:val="center"/>
              <w:rPr>
                <w:sz w:val="16"/>
                <w:szCs w:val="16"/>
              </w:rPr>
            </w:pPr>
          </w:p>
        </w:tc>
        <w:tc>
          <w:tcPr>
            <w:tcW w:w="1080" w:type="dxa"/>
            <w:vAlign w:val="center"/>
          </w:tcPr>
          <w:p w14:paraId="026E6E52" w14:textId="77777777" w:rsidR="001F476F" w:rsidRPr="00CE42F9" w:rsidRDefault="001F476F" w:rsidP="00BF369C">
            <w:pPr>
              <w:jc w:val="center"/>
              <w:rPr>
                <w:sz w:val="16"/>
                <w:szCs w:val="16"/>
              </w:rPr>
            </w:pPr>
          </w:p>
        </w:tc>
        <w:tc>
          <w:tcPr>
            <w:tcW w:w="1242" w:type="dxa"/>
            <w:vAlign w:val="center"/>
          </w:tcPr>
          <w:p w14:paraId="618AF0B7" w14:textId="77777777" w:rsidR="001F476F" w:rsidRPr="00CE42F9" w:rsidRDefault="001F476F" w:rsidP="00BF369C">
            <w:pPr>
              <w:jc w:val="center"/>
              <w:rPr>
                <w:sz w:val="16"/>
                <w:szCs w:val="16"/>
              </w:rPr>
            </w:pPr>
          </w:p>
        </w:tc>
        <w:tc>
          <w:tcPr>
            <w:tcW w:w="934" w:type="dxa"/>
            <w:vAlign w:val="center"/>
          </w:tcPr>
          <w:p w14:paraId="104CED56" w14:textId="77777777" w:rsidR="001F476F" w:rsidRPr="00CE42F9" w:rsidRDefault="001F476F" w:rsidP="00BF369C">
            <w:pPr>
              <w:jc w:val="center"/>
              <w:rPr>
                <w:sz w:val="16"/>
                <w:szCs w:val="16"/>
              </w:rPr>
            </w:pPr>
          </w:p>
        </w:tc>
        <w:tc>
          <w:tcPr>
            <w:tcW w:w="911" w:type="dxa"/>
            <w:vAlign w:val="center"/>
          </w:tcPr>
          <w:p w14:paraId="7239A719" w14:textId="77777777" w:rsidR="001F476F" w:rsidRPr="00CE42F9" w:rsidRDefault="001F476F" w:rsidP="00BF369C">
            <w:pPr>
              <w:jc w:val="center"/>
              <w:rPr>
                <w:sz w:val="16"/>
                <w:szCs w:val="16"/>
              </w:rPr>
            </w:pPr>
          </w:p>
        </w:tc>
      </w:tr>
      <w:tr w:rsidR="001F476F" w:rsidRPr="00CE42F9" w14:paraId="1138DF6A" w14:textId="77777777" w:rsidTr="001F476F">
        <w:trPr>
          <w:jc w:val="center"/>
        </w:trPr>
        <w:tc>
          <w:tcPr>
            <w:tcW w:w="895" w:type="dxa"/>
            <w:vAlign w:val="center"/>
          </w:tcPr>
          <w:p w14:paraId="4480CAFE" w14:textId="25C67A2C" w:rsidR="001F476F" w:rsidRPr="00CE42F9" w:rsidRDefault="001F476F" w:rsidP="00784D40">
            <w:pPr>
              <w:spacing w:after="0"/>
              <w:jc w:val="center"/>
              <w:rPr>
                <w:sz w:val="16"/>
                <w:szCs w:val="16"/>
              </w:rPr>
            </w:pPr>
            <w:r>
              <w:rPr>
                <w:sz w:val="16"/>
                <w:szCs w:val="16"/>
              </w:rPr>
              <w:t>2020</w:t>
            </w:r>
          </w:p>
        </w:tc>
        <w:tc>
          <w:tcPr>
            <w:tcW w:w="990" w:type="dxa"/>
            <w:vAlign w:val="center"/>
          </w:tcPr>
          <w:p w14:paraId="1BF842C0" w14:textId="77777777" w:rsidR="001F476F" w:rsidRPr="00CE42F9" w:rsidRDefault="001F476F" w:rsidP="00BF369C">
            <w:pPr>
              <w:jc w:val="center"/>
              <w:rPr>
                <w:sz w:val="16"/>
                <w:szCs w:val="16"/>
              </w:rPr>
            </w:pPr>
          </w:p>
        </w:tc>
        <w:tc>
          <w:tcPr>
            <w:tcW w:w="990" w:type="dxa"/>
            <w:vAlign w:val="center"/>
          </w:tcPr>
          <w:p w14:paraId="1E257660" w14:textId="77777777" w:rsidR="001F476F" w:rsidRPr="00CE42F9" w:rsidRDefault="001F476F" w:rsidP="00BF369C">
            <w:pPr>
              <w:jc w:val="center"/>
              <w:rPr>
                <w:sz w:val="16"/>
                <w:szCs w:val="16"/>
              </w:rPr>
            </w:pPr>
          </w:p>
        </w:tc>
        <w:tc>
          <w:tcPr>
            <w:tcW w:w="990" w:type="dxa"/>
            <w:vAlign w:val="center"/>
          </w:tcPr>
          <w:p w14:paraId="1E3B0450" w14:textId="77777777" w:rsidR="001F476F" w:rsidRPr="00CE42F9" w:rsidRDefault="001F476F" w:rsidP="00BF369C">
            <w:pPr>
              <w:jc w:val="center"/>
              <w:rPr>
                <w:sz w:val="16"/>
                <w:szCs w:val="16"/>
              </w:rPr>
            </w:pPr>
          </w:p>
        </w:tc>
        <w:tc>
          <w:tcPr>
            <w:tcW w:w="1080" w:type="dxa"/>
            <w:vAlign w:val="center"/>
          </w:tcPr>
          <w:p w14:paraId="592136D2" w14:textId="77777777" w:rsidR="001F476F" w:rsidRPr="00CE42F9" w:rsidRDefault="001F476F" w:rsidP="00BF369C">
            <w:pPr>
              <w:jc w:val="center"/>
              <w:rPr>
                <w:sz w:val="16"/>
                <w:szCs w:val="16"/>
              </w:rPr>
            </w:pPr>
          </w:p>
        </w:tc>
        <w:tc>
          <w:tcPr>
            <w:tcW w:w="1242" w:type="dxa"/>
            <w:vAlign w:val="center"/>
          </w:tcPr>
          <w:p w14:paraId="6A40F43F" w14:textId="77777777" w:rsidR="001F476F" w:rsidRPr="00CE42F9" w:rsidRDefault="001F476F" w:rsidP="00BF369C">
            <w:pPr>
              <w:jc w:val="center"/>
              <w:rPr>
                <w:sz w:val="16"/>
                <w:szCs w:val="16"/>
              </w:rPr>
            </w:pPr>
          </w:p>
        </w:tc>
        <w:tc>
          <w:tcPr>
            <w:tcW w:w="934" w:type="dxa"/>
            <w:vAlign w:val="center"/>
          </w:tcPr>
          <w:p w14:paraId="51A3EF65" w14:textId="77777777" w:rsidR="001F476F" w:rsidRPr="00CE42F9" w:rsidRDefault="001F476F" w:rsidP="00BF369C">
            <w:pPr>
              <w:jc w:val="center"/>
              <w:rPr>
                <w:sz w:val="16"/>
                <w:szCs w:val="16"/>
              </w:rPr>
            </w:pPr>
          </w:p>
        </w:tc>
        <w:tc>
          <w:tcPr>
            <w:tcW w:w="911" w:type="dxa"/>
            <w:vAlign w:val="center"/>
          </w:tcPr>
          <w:p w14:paraId="1923E5F0" w14:textId="77777777" w:rsidR="001F476F" w:rsidRPr="00CE42F9" w:rsidRDefault="001F476F" w:rsidP="00BF369C">
            <w:pPr>
              <w:jc w:val="center"/>
              <w:rPr>
                <w:sz w:val="16"/>
                <w:szCs w:val="16"/>
              </w:rPr>
            </w:pPr>
          </w:p>
        </w:tc>
      </w:tr>
    </w:tbl>
    <w:p w14:paraId="4DDF93F6" w14:textId="160BCF8E" w:rsidR="00CE42F9" w:rsidRPr="0016421E" w:rsidRDefault="0016421E" w:rsidP="002B3EEA">
      <w:pPr>
        <w:autoSpaceDE w:val="0"/>
        <w:autoSpaceDN w:val="0"/>
        <w:adjustRightInd w:val="0"/>
        <w:spacing w:after="0" w:line="240" w:lineRule="auto"/>
        <w:ind w:firstLine="720"/>
        <w:rPr>
          <w:rFonts w:cstheme="minorHAnsi"/>
        </w:rPr>
      </w:pPr>
      <w:r w:rsidRPr="0016421E">
        <w:rPr>
          <w:rFonts w:cstheme="minorHAnsi"/>
        </w:rPr>
        <w:t>*Partial period from April 1, 2011 through December 31, 2011.</w:t>
      </w:r>
    </w:p>
    <w:p w14:paraId="176B0926" w14:textId="77777777" w:rsidR="0016421E" w:rsidRDefault="0016421E" w:rsidP="00BD1A6A">
      <w:pPr>
        <w:autoSpaceDE w:val="0"/>
        <w:autoSpaceDN w:val="0"/>
        <w:adjustRightInd w:val="0"/>
        <w:spacing w:after="0" w:line="240" w:lineRule="auto"/>
        <w:rPr>
          <w:rFonts w:ascii="WarnockPro-Regular" w:hAnsi="WarnockPro-Regular" w:cs="WarnockPro-Regular"/>
        </w:rPr>
      </w:pPr>
    </w:p>
    <w:p w14:paraId="153C35E3" w14:textId="446C7AA2" w:rsidR="007562BB" w:rsidRPr="00BD1A6A" w:rsidRDefault="00CE42F9" w:rsidP="00BD1A6A">
      <w:pPr>
        <w:pStyle w:val="ListParagraph"/>
        <w:numPr>
          <w:ilvl w:val="0"/>
          <w:numId w:val="1"/>
        </w:numPr>
        <w:autoSpaceDE w:val="0"/>
        <w:autoSpaceDN w:val="0"/>
        <w:adjustRightInd w:val="0"/>
        <w:spacing w:after="0" w:line="240" w:lineRule="auto"/>
        <w:rPr>
          <w:rFonts w:ascii="WarnockPro-Regular" w:hAnsi="WarnockPro-Regular" w:cs="WarnockPro-Regular"/>
        </w:rPr>
      </w:pPr>
      <w:r w:rsidRPr="00BD1A6A">
        <w:rPr>
          <w:rFonts w:ascii="WarnockPro-Regular" w:hAnsi="WarnockPro-Regular" w:cs="WarnockPro-Regular"/>
        </w:rPr>
        <w:t>Sample 1 Investment Firm claims compliance with the Global Investment Performance</w:t>
      </w:r>
      <w:r w:rsidR="00650219" w:rsidRPr="00BD1A6A">
        <w:rPr>
          <w:rFonts w:ascii="WarnockPro-Regular" w:hAnsi="WarnockPro-Regular" w:cs="WarnockPro-Regular"/>
        </w:rPr>
        <w:t xml:space="preserve"> </w:t>
      </w:r>
      <w:r w:rsidRPr="00BD1A6A">
        <w:rPr>
          <w:rFonts w:ascii="WarnockPro-Regular" w:hAnsi="WarnockPro-Regular" w:cs="WarnockPro-Regular"/>
        </w:rPr>
        <w:t>Standards (GIPS</w:t>
      </w:r>
      <w:r w:rsidRPr="005C1C89">
        <w:rPr>
          <w:rFonts w:ascii="WarnockPro-Regular" w:hAnsi="WarnockPro-Regular" w:cs="WarnockPro-Regular"/>
          <w:vertAlign w:val="superscript"/>
        </w:rPr>
        <w:t>®</w:t>
      </w:r>
      <w:r w:rsidRPr="00BD1A6A">
        <w:rPr>
          <w:rFonts w:ascii="WarnockPro-Regular" w:hAnsi="WarnockPro-Regular" w:cs="WarnockPro-Regular"/>
        </w:rPr>
        <w:t>) and has prepared and presented this report in compliance with the</w:t>
      </w:r>
      <w:r w:rsidR="00650219" w:rsidRPr="00BD1A6A">
        <w:rPr>
          <w:rFonts w:ascii="WarnockPro-Regular" w:hAnsi="WarnockPro-Regular" w:cs="WarnockPro-Regular"/>
        </w:rPr>
        <w:t xml:space="preserve"> </w:t>
      </w:r>
      <w:r w:rsidRPr="00BD1A6A">
        <w:rPr>
          <w:rFonts w:ascii="WarnockPro-Regular" w:hAnsi="WarnockPro-Regular" w:cs="WarnockPro-Regular"/>
        </w:rPr>
        <w:t>GIPS standards</w:t>
      </w:r>
      <w:r w:rsidR="00C23C7A" w:rsidRPr="00BD1A6A">
        <w:rPr>
          <w:rFonts w:ascii="WarnockPro-Regular" w:hAnsi="WarnockPro-Regular" w:cs="WarnockPro-Regular"/>
        </w:rPr>
        <w:t xml:space="preserve">. </w:t>
      </w:r>
      <w:r w:rsidRPr="00BD1A6A">
        <w:rPr>
          <w:rFonts w:ascii="WarnockPro-Regular" w:hAnsi="WarnockPro-Regular" w:cs="WarnockPro-Regular"/>
        </w:rPr>
        <w:t>Sample 1 Investment Firm has been independently verified for the</w:t>
      </w:r>
      <w:r w:rsidR="00650219" w:rsidRPr="00BD1A6A">
        <w:rPr>
          <w:rFonts w:ascii="WarnockPro-Regular" w:hAnsi="WarnockPro-Regular" w:cs="WarnockPro-Regular"/>
        </w:rPr>
        <w:t xml:space="preserve"> </w:t>
      </w:r>
      <w:r w:rsidR="00DD3235">
        <w:rPr>
          <w:rFonts w:ascii="WarnockPro-Regular" w:hAnsi="WarnockPro-Regular" w:cs="WarnockPro-Regular"/>
        </w:rPr>
        <w:t xml:space="preserve">periods </w:t>
      </w:r>
      <w:r w:rsidR="00AC2F19">
        <w:rPr>
          <w:rFonts w:ascii="WarnockPro-Regular" w:hAnsi="WarnockPro-Regular" w:cs="WarnockPro-Regular"/>
        </w:rPr>
        <w:t>April</w:t>
      </w:r>
      <w:r w:rsidR="00DD3235">
        <w:rPr>
          <w:rFonts w:ascii="WarnockPro-Regular" w:hAnsi="WarnockPro-Regular" w:cs="WarnockPro-Regular"/>
        </w:rPr>
        <w:t xml:space="preserve"> 1, </w:t>
      </w:r>
      <w:r w:rsidRPr="00BD1A6A">
        <w:rPr>
          <w:rFonts w:ascii="WarnockPro-Regular" w:hAnsi="WarnockPro-Regular" w:cs="WarnockPro-Regular"/>
        </w:rPr>
        <w:t>20</w:t>
      </w:r>
      <w:r w:rsidR="009D460C" w:rsidRPr="00BD1A6A">
        <w:rPr>
          <w:rFonts w:ascii="WarnockPro-Regular" w:hAnsi="WarnockPro-Regular" w:cs="WarnockPro-Regular"/>
        </w:rPr>
        <w:t>11</w:t>
      </w:r>
      <w:r w:rsidR="00DD3235">
        <w:rPr>
          <w:rFonts w:ascii="WarnockPro-Regular" w:hAnsi="WarnockPro-Regular" w:cs="WarnockPro-Regular"/>
        </w:rPr>
        <w:t xml:space="preserve"> through </w:t>
      </w:r>
      <w:r w:rsidRPr="00BD1A6A">
        <w:rPr>
          <w:rFonts w:ascii="WarnockPro-Regular" w:hAnsi="WarnockPro-Regular" w:cs="WarnockPro-Regular"/>
        </w:rPr>
        <w:t xml:space="preserve">December </w:t>
      </w:r>
      <w:r w:rsidR="00DD3235">
        <w:rPr>
          <w:rFonts w:ascii="WarnockPro-Regular" w:hAnsi="WarnockPro-Regular" w:cs="WarnockPro-Regular"/>
        </w:rPr>
        <w:t xml:space="preserve">31, </w:t>
      </w:r>
      <w:r w:rsidRPr="00BD1A6A">
        <w:rPr>
          <w:rFonts w:ascii="WarnockPro-Regular" w:hAnsi="WarnockPro-Regular" w:cs="WarnockPro-Regular"/>
        </w:rPr>
        <w:t>20</w:t>
      </w:r>
      <w:r w:rsidR="009D460C" w:rsidRPr="00BD1A6A">
        <w:rPr>
          <w:rFonts w:ascii="WarnockPro-Regular" w:hAnsi="WarnockPro-Regular" w:cs="WarnockPro-Regular"/>
        </w:rPr>
        <w:t>20</w:t>
      </w:r>
      <w:r w:rsidR="00C23C7A" w:rsidRPr="00BD1A6A">
        <w:rPr>
          <w:rFonts w:ascii="WarnockPro-Regular" w:hAnsi="WarnockPro-Regular" w:cs="WarnockPro-Regular"/>
        </w:rPr>
        <w:t xml:space="preserve">. </w:t>
      </w:r>
      <w:r w:rsidRPr="00BD1A6A">
        <w:rPr>
          <w:rFonts w:ascii="WarnockPro-Regular" w:hAnsi="WarnockPro-Regular" w:cs="WarnockPro-Regular"/>
        </w:rPr>
        <w:t>The verification report is available</w:t>
      </w:r>
      <w:r w:rsidR="00650219" w:rsidRPr="00BD1A6A">
        <w:rPr>
          <w:rFonts w:ascii="WarnockPro-Regular" w:hAnsi="WarnockPro-Regular" w:cs="WarnockPro-Regular"/>
        </w:rPr>
        <w:t xml:space="preserve"> </w:t>
      </w:r>
      <w:r w:rsidRPr="00BD1A6A">
        <w:rPr>
          <w:rFonts w:ascii="WarnockPro-Regular" w:hAnsi="WarnockPro-Regular" w:cs="WarnockPro-Regular"/>
        </w:rPr>
        <w:t>upon request</w:t>
      </w:r>
      <w:r w:rsidR="00C23C7A" w:rsidRPr="00BD1A6A">
        <w:rPr>
          <w:rFonts w:ascii="WarnockPro-Regular" w:hAnsi="WarnockPro-Regular" w:cs="WarnockPro-Regular"/>
        </w:rPr>
        <w:t xml:space="preserve">. </w:t>
      </w:r>
    </w:p>
    <w:p w14:paraId="41EC000F" w14:textId="77777777" w:rsidR="007562BB" w:rsidRPr="00996AFC" w:rsidRDefault="007562BB" w:rsidP="00BD1A6A">
      <w:pPr>
        <w:autoSpaceDE w:val="0"/>
        <w:autoSpaceDN w:val="0"/>
        <w:adjustRightInd w:val="0"/>
        <w:spacing w:after="0" w:line="240" w:lineRule="auto"/>
        <w:rPr>
          <w:rFonts w:ascii="WarnockPro-Regular" w:hAnsi="WarnockPro-Regular" w:cs="WarnockPro-Regular"/>
          <w:sz w:val="12"/>
          <w:szCs w:val="12"/>
        </w:rPr>
      </w:pPr>
    </w:p>
    <w:p w14:paraId="15CB1AF1" w14:textId="1740B5E0" w:rsidR="00CE42F9" w:rsidRPr="00BD1A6A" w:rsidRDefault="00F17EA4" w:rsidP="00BD1A6A">
      <w:pPr>
        <w:autoSpaceDE w:val="0"/>
        <w:autoSpaceDN w:val="0"/>
        <w:adjustRightInd w:val="0"/>
        <w:spacing w:after="0" w:line="240" w:lineRule="auto"/>
        <w:ind w:left="360"/>
        <w:rPr>
          <w:rFonts w:ascii="WarnockPro-Regular" w:hAnsi="WarnockPro-Regular" w:cs="WarnockPro-Regular"/>
        </w:rPr>
      </w:pPr>
      <w:r w:rsidRPr="00BD1A6A">
        <w:rPr>
          <w:rFonts w:ascii="WarnockPro-Regular" w:hAnsi="WarnockPro-Regular" w:cs="WarnockPro-Regular"/>
        </w:rPr>
        <w:t>A firm that claims compliance with the GIPS standards must establish policies and procedures for complying with all the applicable requirements of the GIPS standards. Verification provides assurance on whether the firm’s policies and procedures related to composite and pooled fund maintenance, as well as the calculation, presentation, and distribution of performance, have been designed in compliance with the GIPS standards and have been implemented on a firm-wide basis. Verification does not provide assurance on the accuracy of any specific performance report.</w:t>
      </w:r>
    </w:p>
    <w:p w14:paraId="2BD53AB6" w14:textId="77777777" w:rsidR="00650219" w:rsidRPr="00996AFC" w:rsidRDefault="00650219" w:rsidP="00CE42F9">
      <w:pPr>
        <w:autoSpaceDE w:val="0"/>
        <w:autoSpaceDN w:val="0"/>
        <w:adjustRightInd w:val="0"/>
        <w:spacing w:after="0" w:line="240" w:lineRule="auto"/>
        <w:rPr>
          <w:rFonts w:ascii="WarnockPro-It" w:hAnsi="WarnockPro-It" w:cs="WarnockPro-It"/>
          <w:iCs/>
          <w:sz w:val="12"/>
          <w:szCs w:val="12"/>
        </w:rPr>
      </w:pPr>
    </w:p>
    <w:p w14:paraId="72633C3A" w14:textId="1292E52E" w:rsidR="00CE42F9" w:rsidRDefault="00CE42F9" w:rsidP="00FD716D">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 xml:space="preserve">Sample 1 Investment Firm is </w:t>
      </w:r>
      <w:r w:rsidR="00AC2F19">
        <w:rPr>
          <w:rFonts w:ascii="WarnockPro-Regular" w:hAnsi="WarnockPro-Regular" w:cs="WarnockPro-Regular"/>
        </w:rPr>
        <w:t>an equity</w:t>
      </w:r>
      <w:r w:rsidRPr="00650219">
        <w:rPr>
          <w:rFonts w:ascii="WarnockPro-Regular" w:hAnsi="WarnockPro-Regular" w:cs="WarnockPro-Regular"/>
        </w:rPr>
        <w:t xml:space="preserve"> investment manager that invests solely in</w:t>
      </w:r>
      <w:r w:rsidR="00650219" w:rsidRPr="00650219">
        <w:rPr>
          <w:rFonts w:ascii="WarnockPro-Regular" w:hAnsi="WarnockPro-Regular" w:cs="WarnockPro-Regular"/>
        </w:rPr>
        <w:t xml:space="preserve"> </w:t>
      </w:r>
      <w:r w:rsidR="00AC2F19">
        <w:rPr>
          <w:rFonts w:ascii="WarnockPro-Regular" w:hAnsi="WarnockPro-Regular" w:cs="WarnockPro-Regular"/>
        </w:rPr>
        <w:t>Japan</w:t>
      </w:r>
      <w:r w:rsidRPr="00650219">
        <w:rPr>
          <w:rFonts w:ascii="WarnockPro-Regular" w:hAnsi="WarnockPro-Regular" w:cs="WarnockPro-Regular"/>
        </w:rPr>
        <w:t>-based securities</w:t>
      </w:r>
      <w:r w:rsidR="006C5FEB">
        <w:rPr>
          <w:rFonts w:ascii="WarnockPro-Regular" w:hAnsi="WarnockPro-Regular" w:cs="WarnockPro-Regular"/>
        </w:rPr>
        <w:t xml:space="preserve">. </w:t>
      </w:r>
      <w:r w:rsidRPr="00650219">
        <w:rPr>
          <w:rFonts w:ascii="WarnockPro-Regular" w:hAnsi="WarnockPro-Regular" w:cs="WarnockPro-Regular"/>
        </w:rPr>
        <w:t>Sample 1 Investment Firm is defined as an independent investment</w:t>
      </w:r>
      <w:r w:rsidR="00650219" w:rsidRPr="00650219">
        <w:rPr>
          <w:rFonts w:ascii="WarnockPro-Regular" w:hAnsi="WarnockPro-Regular" w:cs="WarnockPro-Regular"/>
        </w:rPr>
        <w:t xml:space="preserve"> </w:t>
      </w:r>
      <w:r w:rsidRPr="00650219">
        <w:rPr>
          <w:rFonts w:ascii="WarnockPro-Regular" w:hAnsi="WarnockPro-Regular" w:cs="WarnockPro-Regular"/>
        </w:rPr>
        <w:t>management firm that is not affiliated with any parent organization</w:t>
      </w:r>
      <w:r w:rsidR="006C5FEB">
        <w:rPr>
          <w:rFonts w:ascii="WarnockPro-Regular" w:hAnsi="WarnockPro-Regular" w:cs="WarnockPro-Regular"/>
        </w:rPr>
        <w:t xml:space="preserve">. </w:t>
      </w:r>
    </w:p>
    <w:p w14:paraId="0CA62D4E"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640A7674" w14:textId="5A94D2F6" w:rsidR="00CE42F9" w:rsidRPr="00B812F0" w:rsidRDefault="00B812F0" w:rsidP="00B812F0">
      <w:pPr>
        <w:pStyle w:val="ListParagraph"/>
        <w:numPr>
          <w:ilvl w:val="0"/>
          <w:numId w:val="1"/>
        </w:numPr>
        <w:autoSpaceDE w:val="0"/>
        <w:autoSpaceDN w:val="0"/>
        <w:adjustRightInd w:val="0"/>
        <w:spacing w:after="0" w:line="240" w:lineRule="auto"/>
        <w:rPr>
          <w:rFonts w:ascii="WarnockPro-Regular" w:hAnsi="WarnockPro-Regular" w:cs="WarnockPro-Regular"/>
        </w:rPr>
      </w:pPr>
      <w:r w:rsidRPr="00B812F0">
        <w:rPr>
          <w:rFonts w:ascii="WarnockPro-Regular" w:hAnsi="WarnockPro-Regular" w:cs="WarnockPro-Regular"/>
        </w:rPr>
        <w:t xml:space="preserve">The Japan Large Cap Equity Fund (the “Fund”) seeks to achieve long-term capital appreciation by investing primarily in large-cap equity securities of Japanese issuers. Under normal market conditions, the Fund will invest at least 80% of its net assets (including the amount of any borrowings for investment purposes) in common and preferred stocks of large-capitalization companies. The Fund may from time to time emphasize one or more sectors in selecting its investments, including the financial services sector. The value of the Fund’s assets may be adversely affected by economic and social demographics. Japan’s population is aging, and the government may have to increase taxes as it spends more on healthcare, which could slow </w:t>
      </w:r>
      <w:r w:rsidRPr="00B812F0">
        <w:rPr>
          <w:rFonts w:ascii="WarnockPro-Regular" w:hAnsi="WarnockPro-Regular" w:cs="WarnockPro-Regular"/>
        </w:rPr>
        <w:lastRenderedPageBreak/>
        <w:t>economic growth at a time when Japan has been in a prolonged economic downturn. The Fund may borrow up to 30% of its net asset value. Historically, the Fund’s borrowing level has averaged less than 1% of net assets and has never exceeded 10%. Leverage may also magnify losses as well as gains to the extent that leverage is used.</w:t>
      </w:r>
    </w:p>
    <w:p w14:paraId="663E519A"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006F23E0" w14:textId="67B35746" w:rsidR="00CE42F9" w:rsidRPr="00D05C38" w:rsidRDefault="00CE42F9" w:rsidP="00D05C38">
      <w:pPr>
        <w:pStyle w:val="ListParagraph"/>
        <w:numPr>
          <w:ilvl w:val="0"/>
          <w:numId w:val="1"/>
        </w:numPr>
        <w:autoSpaceDE w:val="0"/>
        <w:autoSpaceDN w:val="0"/>
        <w:adjustRightInd w:val="0"/>
        <w:spacing w:after="0" w:line="240" w:lineRule="auto"/>
        <w:rPr>
          <w:rFonts w:ascii="WarnockPro-Regular" w:hAnsi="WarnockPro-Regular" w:cs="WarnockPro-Regular"/>
        </w:rPr>
      </w:pPr>
      <w:r w:rsidRPr="00D05C38">
        <w:rPr>
          <w:rFonts w:ascii="WarnockPro-Regular" w:hAnsi="WarnockPro-Regular" w:cs="WarnockPro-Regular"/>
        </w:rPr>
        <w:t xml:space="preserve">The benchmark is </w:t>
      </w:r>
      <w:r w:rsidR="00D05C38" w:rsidRPr="00D05C38">
        <w:rPr>
          <w:rFonts w:ascii="WarnockPro-Regular" w:hAnsi="WarnockPro-Regular" w:cs="WarnockPro-Regular"/>
        </w:rPr>
        <w:t>the XYZ Japan Large Cap Index, which is designed to measure the performance of the large-cap segment of the Japanese market. The index is fully invested and includes the reinvestment of dividends.</w:t>
      </w:r>
    </w:p>
    <w:p w14:paraId="11E3899C"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42BFF2C9" w14:textId="3D964332" w:rsidR="00CE42F9" w:rsidRDefault="00CE42F9" w:rsidP="00650219">
      <w:pPr>
        <w:pStyle w:val="ListParagraph"/>
        <w:numPr>
          <w:ilvl w:val="0"/>
          <w:numId w:val="1"/>
        </w:numPr>
        <w:autoSpaceDE w:val="0"/>
        <w:autoSpaceDN w:val="0"/>
        <w:adjustRightInd w:val="0"/>
        <w:spacing w:after="0" w:line="240" w:lineRule="auto"/>
        <w:rPr>
          <w:rFonts w:ascii="WarnockPro-Regular" w:hAnsi="WarnockPro-Regular" w:cs="WarnockPro-Regular"/>
        </w:rPr>
      </w:pPr>
      <w:r>
        <w:rPr>
          <w:rFonts w:ascii="WarnockPro-Regular" w:hAnsi="WarnockPro-Regular" w:cs="WarnockPro-Regular"/>
        </w:rPr>
        <w:t>Valuations are computed and performance is reported in U.S. dollars.</w:t>
      </w:r>
      <w:r w:rsidR="00640266">
        <w:rPr>
          <w:rFonts w:ascii="WarnockPro-Regular" w:hAnsi="WarnockPro-Regular" w:cs="WarnockPro-Regular"/>
        </w:rPr>
        <w:t xml:space="preserve"> </w:t>
      </w:r>
      <w:r w:rsidR="00640266" w:rsidRPr="00650219">
        <w:rPr>
          <w:rFonts w:ascii="WarnockPro-Regular" w:hAnsi="WarnockPro-Regular" w:cs="WarnockPro-Regular"/>
        </w:rPr>
        <w:t xml:space="preserve">Policies for valuing </w:t>
      </w:r>
      <w:r w:rsidR="00640266">
        <w:rPr>
          <w:rFonts w:ascii="WarnockPro-Regular" w:hAnsi="WarnockPro-Regular" w:cs="WarnockPro-Regular"/>
        </w:rPr>
        <w:t>investments</w:t>
      </w:r>
      <w:r w:rsidR="00640266" w:rsidRPr="00650219">
        <w:rPr>
          <w:rFonts w:ascii="WarnockPro-Regular" w:hAnsi="WarnockPro-Regular" w:cs="WarnockPro-Regular"/>
        </w:rPr>
        <w:t xml:space="preserve">, calculating performance, and preparing </w:t>
      </w:r>
      <w:r w:rsidR="00640266">
        <w:rPr>
          <w:rFonts w:ascii="WarnockPro-Regular" w:hAnsi="WarnockPro-Regular" w:cs="WarnockPro-Regular"/>
        </w:rPr>
        <w:t>GIPS reports</w:t>
      </w:r>
      <w:r w:rsidR="00640266" w:rsidRPr="00650219">
        <w:rPr>
          <w:rFonts w:ascii="WarnockPro-Regular" w:hAnsi="WarnockPro-Regular" w:cs="WarnockPro-Regular"/>
        </w:rPr>
        <w:t xml:space="preserve"> are available upon request.</w:t>
      </w:r>
    </w:p>
    <w:p w14:paraId="69CDF5BC"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58D1DB84" w14:textId="66F19B2A" w:rsidR="00CE42F9" w:rsidRDefault="004535D5" w:rsidP="004535D5">
      <w:pPr>
        <w:pStyle w:val="ListParagraph"/>
        <w:numPr>
          <w:ilvl w:val="0"/>
          <w:numId w:val="1"/>
        </w:numPr>
        <w:autoSpaceDE w:val="0"/>
        <w:autoSpaceDN w:val="0"/>
        <w:adjustRightInd w:val="0"/>
        <w:spacing w:after="0" w:line="240" w:lineRule="auto"/>
        <w:rPr>
          <w:rFonts w:ascii="WarnockPro-Regular" w:hAnsi="WarnockPro-Regular" w:cs="WarnockPro-Regular"/>
        </w:rPr>
      </w:pPr>
      <w:r w:rsidRPr="004535D5">
        <w:rPr>
          <w:rFonts w:ascii="WarnockPro-Regular" w:hAnsi="WarnockPro-Regular" w:cs="WarnockPro-Regular"/>
        </w:rPr>
        <w:t>Gross returns are presented before the deduction of management fees but reflect the deduction of all trading and administrative expenses. Share Class A is used to calculate Fund gross returns. Net returns are calculated by deducting 1/12th of the management fee (0.75% annually, for all share classes) from the monthly gross Fund return. The total expense ratios for Class A and Class I as of the Fund’s most recent fiscal year end (31 March 202</w:t>
      </w:r>
      <w:r w:rsidR="009A215B">
        <w:rPr>
          <w:rFonts w:ascii="WarnockPro-Regular" w:hAnsi="WarnockPro-Regular" w:cs="WarnockPro-Regular"/>
        </w:rPr>
        <w:t>0</w:t>
      </w:r>
      <w:r w:rsidRPr="004535D5">
        <w:rPr>
          <w:rFonts w:ascii="WarnockPro-Regular" w:hAnsi="WarnockPro-Regular" w:cs="WarnockPro-Regular"/>
        </w:rPr>
        <w:t>) were 1.50% and 1.35%, respectively.</w:t>
      </w:r>
    </w:p>
    <w:p w14:paraId="6A390D27" w14:textId="77777777" w:rsidR="004535D5" w:rsidRPr="004535D5" w:rsidRDefault="004535D5" w:rsidP="004535D5">
      <w:pPr>
        <w:autoSpaceDE w:val="0"/>
        <w:autoSpaceDN w:val="0"/>
        <w:adjustRightInd w:val="0"/>
        <w:spacing w:after="0" w:line="240" w:lineRule="auto"/>
        <w:rPr>
          <w:rFonts w:ascii="WarnockPro-Regular" w:hAnsi="WarnockPro-Regular" w:cs="WarnockPro-Regular"/>
          <w:sz w:val="12"/>
          <w:szCs w:val="12"/>
        </w:rPr>
      </w:pPr>
    </w:p>
    <w:p w14:paraId="658CEBA5" w14:textId="36E4C7AD" w:rsidR="004535D5" w:rsidRPr="004535D5" w:rsidRDefault="004535D5" w:rsidP="004535D5">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 xml:space="preserve">A list of composite </w:t>
      </w:r>
      <w:r>
        <w:rPr>
          <w:rFonts w:ascii="WarnockPro-Regular" w:hAnsi="WarnockPro-Regular" w:cs="WarnockPro-Regular"/>
        </w:rPr>
        <w:t xml:space="preserve">and pooled fund </w:t>
      </w:r>
      <w:r w:rsidRPr="00650219">
        <w:rPr>
          <w:rFonts w:ascii="WarnockPro-Regular" w:hAnsi="WarnockPro-Regular" w:cs="WarnockPro-Regular"/>
        </w:rPr>
        <w:t>descriptions is available upon request.</w:t>
      </w:r>
    </w:p>
    <w:p w14:paraId="7CDFA306"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05DF3BBC" w14:textId="67F82D0A" w:rsidR="00650219" w:rsidRDefault="004535D5" w:rsidP="00D1644F">
      <w:pPr>
        <w:pStyle w:val="ListParagraph"/>
        <w:numPr>
          <w:ilvl w:val="0"/>
          <w:numId w:val="1"/>
        </w:numPr>
        <w:autoSpaceDE w:val="0"/>
        <w:autoSpaceDN w:val="0"/>
        <w:adjustRightInd w:val="0"/>
        <w:spacing w:after="0" w:line="240" w:lineRule="auto"/>
        <w:rPr>
          <w:rFonts w:ascii="WarnockPro-Regular" w:hAnsi="WarnockPro-Regular" w:cs="WarnockPro-Regular"/>
        </w:rPr>
      </w:pPr>
      <w:r>
        <w:rPr>
          <w:rFonts w:ascii="WarnockPro-Regular" w:hAnsi="WarnockPro-Regular" w:cs="WarnockPro-Regular"/>
        </w:rPr>
        <w:t>T</w:t>
      </w:r>
      <w:r w:rsidR="00DD3235">
        <w:rPr>
          <w:rFonts w:ascii="WarnockPro-Regular" w:hAnsi="WarnockPro-Regular" w:cs="WarnockPro-Regular"/>
        </w:rPr>
        <w:t xml:space="preserve">he inception date </w:t>
      </w:r>
      <w:r>
        <w:rPr>
          <w:rFonts w:ascii="WarnockPro-Regular" w:hAnsi="WarnockPro-Regular" w:cs="WarnockPro-Regular"/>
        </w:rPr>
        <w:t xml:space="preserve">of the Fund </w:t>
      </w:r>
      <w:r w:rsidR="00DD3235">
        <w:rPr>
          <w:rFonts w:ascii="WarnockPro-Regular" w:hAnsi="WarnockPro-Regular" w:cs="WarnockPro-Regular"/>
        </w:rPr>
        <w:t xml:space="preserve">is </w:t>
      </w:r>
      <w:r>
        <w:rPr>
          <w:rFonts w:ascii="WarnockPro-Regular" w:hAnsi="WarnockPro-Regular" w:cs="WarnockPro-Regular"/>
        </w:rPr>
        <w:t>April 1, 2011, which is the first day assets were invested in the strategy.</w:t>
      </w:r>
    </w:p>
    <w:p w14:paraId="00D21CEF"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7BB51F4B" w14:textId="5BDE1984" w:rsidR="00650219" w:rsidRDefault="00650219" w:rsidP="00F25B7B">
      <w:pPr>
        <w:pStyle w:val="ListParagraph"/>
        <w:numPr>
          <w:ilvl w:val="0"/>
          <w:numId w:val="1"/>
        </w:numPr>
        <w:autoSpaceDE w:val="0"/>
        <w:autoSpaceDN w:val="0"/>
        <w:adjustRightInd w:val="0"/>
        <w:spacing w:after="0" w:line="240" w:lineRule="auto"/>
        <w:rPr>
          <w:rFonts w:ascii="WarnockPro-Regular" w:hAnsi="WarnockPro-Regular" w:cs="WarnockPro-Regular"/>
        </w:rPr>
      </w:pPr>
      <w:r w:rsidRPr="00650219">
        <w:rPr>
          <w:rFonts w:ascii="WarnockPro-Regular" w:hAnsi="WarnockPro-Regular" w:cs="WarnockPro-Regular"/>
        </w:rPr>
        <w:t xml:space="preserve">The three-year annualized </w:t>
      </w:r>
      <w:r w:rsidR="004570B8">
        <w:rPr>
          <w:rFonts w:ascii="WarnockPro-Regular" w:hAnsi="WarnockPro-Regular" w:cs="WarnockPro-Regular"/>
        </w:rPr>
        <w:t xml:space="preserve">ex-post </w:t>
      </w:r>
      <w:r w:rsidRPr="00650219">
        <w:rPr>
          <w:rFonts w:ascii="WarnockPro-Regular" w:hAnsi="WarnockPro-Regular" w:cs="WarnockPro-Regular"/>
        </w:rPr>
        <w:t xml:space="preserve">standard deviation </w:t>
      </w:r>
      <w:r w:rsidR="004570B8">
        <w:rPr>
          <w:rFonts w:ascii="WarnockPro-Regular" w:hAnsi="WarnockPro-Regular" w:cs="WarnockPro-Regular"/>
        </w:rPr>
        <w:t>measures the variability of the monthly gross returns</w:t>
      </w:r>
      <w:r w:rsidRPr="00650219">
        <w:rPr>
          <w:rFonts w:ascii="WarnockPro-Regular" w:hAnsi="WarnockPro-Regular" w:cs="WarnockPro-Regular"/>
        </w:rPr>
        <w:t xml:space="preserve"> </w:t>
      </w:r>
      <w:r w:rsidR="004570B8">
        <w:rPr>
          <w:rFonts w:ascii="WarnockPro-Regular" w:hAnsi="WarnockPro-Regular" w:cs="WarnockPro-Regular"/>
        </w:rPr>
        <w:t xml:space="preserve">of the fund </w:t>
      </w:r>
      <w:r w:rsidRPr="00650219">
        <w:rPr>
          <w:rFonts w:ascii="WarnockPro-Regular" w:hAnsi="WarnockPro-Regular" w:cs="WarnockPro-Regular"/>
        </w:rPr>
        <w:t xml:space="preserve">and the benchmark </w:t>
      </w:r>
      <w:bookmarkStart w:id="0" w:name="_GoBack"/>
      <w:bookmarkEnd w:id="0"/>
      <w:r w:rsidRPr="00650219">
        <w:rPr>
          <w:rFonts w:ascii="WarnockPro-Regular" w:hAnsi="WarnockPro-Regular" w:cs="WarnockPro-Regular"/>
        </w:rPr>
        <w:t>over the preceding 36-month period.</w:t>
      </w:r>
    </w:p>
    <w:p w14:paraId="11E040EE" w14:textId="77777777" w:rsidR="00996AFC" w:rsidRPr="00996AFC" w:rsidRDefault="00996AFC" w:rsidP="00996AFC">
      <w:pPr>
        <w:autoSpaceDE w:val="0"/>
        <w:autoSpaceDN w:val="0"/>
        <w:adjustRightInd w:val="0"/>
        <w:spacing w:after="0" w:line="240" w:lineRule="auto"/>
        <w:rPr>
          <w:rFonts w:ascii="WarnockPro-Regular" w:hAnsi="WarnockPro-Regular" w:cs="WarnockPro-Regular"/>
          <w:sz w:val="12"/>
          <w:szCs w:val="12"/>
        </w:rPr>
      </w:pPr>
    </w:p>
    <w:p w14:paraId="73018C19" w14:textId="17C5FEB7" w:rsidR="00E63BB0" w:rsidRPr="00B711B0" w:rsidRDefault="00F22050" w:rsidP="00E63BB0">
      <w:pPr>
        <w:pStyle w:val="ListParagraph"/>
        <w:numPr>
          <w:ilvl w:val="0"/>
          <w:numId w:val="1"/>
        </w:numPr>
        <w:autoSpaceDE w:val="0"/>
        <w:autoSpaceDN w:val="0"/>
        <w:adjustRightInd w:val="0"/>
        <w:spacing w:after="0" w:line="240" w:lineRule="auto"/>
        <w:rPr>
          <w:rFonts w:ascii="WarnockPro-Regular" w:hAnsi="WarnockPro-Regular" w:cs="WarnockPro-Regular"/>
        </w:rPr>
      </w:pPr>
      <w:r w:rsidRPr="00C92E5C">
        <w:rPr>
          <w:rFonts w:ascii="WarnockPro-Regular" w:hAnsi="WarnockPro-Regular" w:cs="WarnockPro-Regular"/>
        </w:rPr>
        <w:t>GIPS</w:t>
      </w:r>
      <w:r w:rsidRPr="004F02DE">
        <w:rPr>
          <w:rFonts w:ascii="WarnockPro-Regular" w:hAnsi="WarnockPro-Regular" w:cs="WarnockPro-Regular"/>
          <w:vertAlign w:val="superscript"/>
        </w:rPr>
        <w:t>®</w:t>
      </w:r>
      <w:r w:rsidRPr="00C92E5C">
        <w:rPr>
          <w:rFonts w:ascii="WarnockPro-Regular" w:hAnsi="WarnockPro-Regular" w:cs="WarnockPro-Regular"/>
        </w:rPr>
        <w:t xml:space="preserve"> is a registered trademark of CFA Institute. CFA Institute does not endorse or promote this organization, nor does it warrant the accuracy or quality of the content contained herein.</w:t>
      </w:r>
    </w:p>
    <w:sectPr w:rsidR="00E63BB0" w:rsidRPr="00B711B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3E76" w16cex:dateUtc="2020-06-22T00:15:00Z"/>
  <w16cex:commentExtensible w16cex:durableId="229A43BB" w16cex:dateUtc="2020-06-22T00:38:00Z"/>
  <w16cex:commentExtensible w16cex:durableId="229A45EA" w16cex:dateUtc="2020-06-22T00:47:00Z"/>
  <w16cex:commentExtensible w16cex:durableId="229A4888" w16cex:dateUtc="2020-06-22T00:58:00Z"/>
  <w16cex:commentExtensible w16cex:durableId="229A47FD" w16cex:dateUtc="2020-06-22T00:56:00Z"/>
  <w16cex:commentExtensible w16cex:durableId="229A48DF" w16cex:dateUtc="2020-06-22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7BEA5D" w16cid:durableId="229A3E76"/>
  <w16cid:commentId w16cid:paraId="3F0A8854" w16cid:durableId="229A43BB"/>
  <w16cid:commentId w16cid:paraId="4C997D9C" w16cid:durableId="229A45EA"/>
  <w16cid:commentId w16cid:paraId="27A157F0" w16cid:durableId="229A4888"/>
  <w16cid:commentId w16cid:paraId="23CB3F42" w16cid:durableId="229A47FD"/>
  <w16cid:commentId w16cid:paraId="1FC1EC6B" w16cid:durableId="229A48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arnockPro-Regular">
    <w:altName w:val="Cambria"/>
    <w:panose1 w:val="00000000000000000000"/>
    <w:charset w:val="00"/>
    <w:family w:val="roman"/>
    <w:notTrueType/>
    <w:pitch w:val="default"/>
    <w:sig w:usb0="00000003" w:usb1="00000000" w:usb2="00000000" w:usb3="00000000" w:csb0="00000001" w:csb1="00000000"/>
  </w:font>
  <w:font w:name="WarnockPro-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0AE"/>
    <w:multiLevelType w:val="hybridMultilevel"/>
    <w:tmpl w:val="951A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3F7ADE"/>
    <w:multiLevelType w:val="hybridMultilevel"/>
    <w:tmpl w:val="BB18F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B1F"/>
    <w:multiLevelType w:val="hybridMultilevel"/>
    <w:tmpl w:val="5C742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F9"/>
    <w:rsid w:val="00000BE2"/>
    <w:rsid w:val="000040EB"/>
    <w:rsid w:val="000448B5"/>
    <w:rsid w:val="000548E5"/>
    <w:rsid w:val="00071383"/>
    <w:rsid w:val="000D3B82"/>
    <w:rsid w:val="000F2360"/>
    <w:rsid w:val="00100C52"/>
    <w:rsid w:val="00114679"/>
    <w:rsid w:val="00126184"/>
    <w:rsid w:val="001635E2"/>
    <w:rsid w:val="0016421E"/>
    <w:rsid w:val="00193810"/>
    <w:rsid w:val="001C1D34"/>
    <w:rsid w:val="001C3321"/>
    <w:rsid w:val="001F476F"/>
    <w:rsid w:val="002B3EEA"/>
    <w:rsid w:val="002D0A1A"/>
    <w:rsid w:val="002D4CB4"/>
    <w:rsid w:val="00300723"/>
    <w:rsid w:val="00376BC6"/>
    <w:rsid w:val="00395C4D"/>
    <w:rsid w:val="003A7D3B"/>
    <w:rsid w:val="003F540D"/>
    <w:rsid w:val="004535D5"/>
    <w:rsid w:val="004570B8"/>
    <w:rsid w:val="00482F68"/>
    <w:rsid w:val="00494026"/>
    <w:rsid w:val="004B7CA6"/>
    <w:rsid w:val="004D6803"/>
    <w:rsid w:val="004F02DE"/>
    <w:rsid w:val="004F0B63"/>
    <w:rsid w:val="00521229"/>
    <w:rsid w:val="0055541E"/>
    <w:rsid w:val="005C1C89"/>
    <w:rsid w:val="005D67A5"/>
    <w:rsid w:val="005E414C"/>
    <w:rsid w:val="00606248"/>
    <w:rsid w:val="00615120"/>
    <w:rsid w:val="006165F0"/>
    <w:rsid w:val="0062270A"/>
    <w:rsid w:val="00640266"/>
    <w:rsid w:val="00650219"/>
    <w:rsid w:val="006C5FEB"/>
    <w:rsid w:val="007460BF"/>
    <w:rsid w:val="00752A53"/>
    <w:rsid w:val="007562BB"/>
    <w:rsid w:val="00784D40"/>
    <w:rsid w:val="007B0576"/>
    <w:rsid w:val="007B5ADF"/>
    <w:rsid w:val="007F3AF2"/>
    <w:rsid w:val="00803F56"/>
    <w:rsid w:val="00832A25"/>
    <w:rsid w:val="00836C44"/>
    <w:rsid w:val="008700B4"/>
    <w:rsid w:val="008952AE"/>
    <w:rsid w:val="008F7A4A"/>
    <w:rsid w:val="00975578"/>
    <w:rsid w:val="00996AFC"/>
    <w:rsid w:val="009A215B"/>
    <w:rsid w:val="009D460C"/>
    <w:rsid w:val="00A177F6"/>
    <w:rsid w:val="00A61567"/>
    <w:rsid w:val="00AA6B95"/>
    <w:rsid w:val="00AB58F6"/>
    <w:rsid w:val="00AC2F19"/>
    <w:rsid w:val="00AD1F76"/>
    <w:rsid w:val="00B0324A"/>
    <w:rsid w:val="00B21DA5"/>
    <w:rsid w:val="00B611EE"/>
    <w:rsid w:val="00B711B0"/>
    <w:rsid w:val="00B76817"/>
    <w:rsid w:val="00B804B9"/>
    <w:rsid w:val="00B812F0"/>
    <w:rsid w:val="00B829A3"/>
    <w:rsid w:val="00B87ED7"/>
    <w:rsid w:val="00BA5D53"/>
    <w:rsid w:val="00BD1A6A"/>
    <w:rsid w:val="00BF369C"/>
    <w:rsid w:val="00C07B5E"/>
    <w:rsid w:val="00C23C7A"/>
    <w:rsid w:val="00C425C1"/>
    <w:rsid w:val="00CB1EEB"/>
    <w:rsid w:val="00CE42F9"/>
    <w:rsid w:val="00D05C38"/>
    <w:rsid w:val="00D109F4"/>
    <w:rsid w:val="00D3336C"/>
    <w:rsid w:val="00D912C4"/>
    <w:rsid w:val="00DC117F"/>
    <w:rsid w:val="00DD3235"/>
    <w:rsid w:val="00DF40A6"/>
    <w:rsid w:val="00E020DA"/>
    <w:rsid w:val="00E5049B"/>
    <w:rsid w:val="00E63BB0"/>
    <w:rsid w:val="00F17EA4"/>
    <w:rsid w:val="00F22050"/>
    <w:rsid w:val="00F22353"/>
    <w:rsid w:val="00FB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1D19"/>
  <w15:chartTrackingRefBased/>
  <w15:docId w15:val="{0A336BDE-A4FD-4E43-ABD3-7C6B40A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42F9"/>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NoParagraphStyle">
    <w:name w:val="[No Paragraph Style]"/>
    <w:rsid w:val="00CE42F9"/>
    <w:pPr>
      <w:autoSpaceDE w:val="0"/>
      <w:autoSpaceDN w:val="0"/>
      <w:adjustRightInd w:val="0"/>
      <w:spacing w:line="288" w:lineRule="auto"/>
      <w:textAlignment w:val="center"/>
    </w:pPr>
    <w:rPr>
      <w:rFonts w:ascii="HelveticaNeueLT Std Lt" w:hAnsi="HelveticaNeueLT Std Lt"/>
      <w:color w:val="000000"/>
      <w:sz w:val="24"/>
      <w:szCs w:val="24"/>
      <w:lang w:val="en-GB"/>
    </w:rPr>
  </w:style>
  <w:style w:type="table" w:styleId="TableGrid">
    <w:name w:val="Table Grid"/>
    <w:basedOn w:val="TableNormal"/>
    <w:uiPriority w:val="39"/>
    <w:rsid w:val="00CE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219"/>
    <w:pPr>
      <w:ind w:left="720"/>
      <w:contextualSpacing/>
    </w:pPr>
  </w:style>
  <w:style w:type="paragraph" w:styleId="BalloonText">
    <w:name w:val="Balloon Text"/>
    <w:basedOn w:val="Normal"/>
    <w:link w:val="BalloonTextChar"/>
    <w:uiPriority w:val="99"/>
    <w:semiHidden/>
    <w:unhideWhenUsed/>
    <w:rsid w:val="00F1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A4"/>
    <w:rPr>
      <w:rFonts w:ascii="Segoe UI" w:hAnsi="Segoe UI" w:cs="Segoe UI"/>
      <w:sz w:val="18"/>
      <w:szCs w:val="18"/>
    </w:rPr>
  </w:style>
  <w:style w:type="character" w:styleId="CommentReference">
    <w:name w:val="annotation reference"/>
    <w:basedOn w:val="DefaultParagraphFont"/>
    <w:uiPriority w:val="99"/>
    <w:semiHidden/>
    <w:unhideWhenUsed/>
    <w:rsid w:val="00AA6B95"/>
    <w:rPr>
      <w:sz w:val="16"/>
      <w:szCs w:val="16"/>
    </w:rPr>
  </w:style>
  <w:style w:type="paragraph" w:styleId="CommentText">
    <w:name w:val="annotation text"/>
    <w:basedOn w:val="Normal"/>
    <w:link w:val="CommentTextChar"/>
    <w:uiPriority w:val="99"/>
    <w:unhideWhenUsed/>
    <w:rsid w:val="00AA6B95"/>
    <w:pPr>
      <w:spacing w:line="240" w:lineRule="auto"/>
    </w:pPr>
    <w:rPr>
      <w:sz w:val="20"/>
      <w:szCs w:val="20"/>
    </w:rPr>
  </w:style>
  <w:style w:type="character" w:customStyle="1" w:styleId="CommentTextChar">
    <w:name w:val="Comment Text Char"/>
    <w:basedOn w:val="DefaultParagraphFont"/>
    <w:link w:val="CommentText"/>
    <w:uiPriority w:val="99"/>
    <w:rsid w:val="00AA6B95"/>
    <w:rPr>
      <w:sz w:val="20"/>
      <w:szCs w:val="20"/>
    </w:rPr>
  </w:style>
  <w:style w:type="paragraph" w:styleId="CommentSubject">
    <w:name w:val="annotation subject"/>
    <w:basedOn w:val="CommentText"/>
    <w:next w:val="CommentText"/>
    <w:link w:val="CommentSubjectChar"/>
    <w:uiPriority w:val="99"/>
    <w:semiHidden/>
    <w:unhideWhenUsed/>
    <w:rsid w:val="00AA6B95"/>
    <w:rPr>
      <w:b/>
      <w:bCs/>
    </w:rPr>
  </w:style>
  <w:style w:type="character" w:customStyle="1" w:styleId="CommentSubjectChar">
    <w:name w:val="Comment Subject Char"/>
    <w:basedOn w:val="CommentTextChar"/>
    <w:link w:val="CommentSubject"/>
    <w:uiPriority w:val="99"/>
    <w:semiHidden/>
    <w:rsid w:val="00AA6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dc:creator>
  <cp:keywords/>
  <dc:description/>
  <cp:lastModifiedBy>Ashley Reeves</cp:lastModifiedBy>
  <cp:revision>24</cp:revision>
  <dcterms:created xsi:type="dcterms:W3CDTF">2020-06-25T15:59:00Z</dcterms:created>
  <dcterms:modified xsi:type="dcterms:W3CDTF">2020-11-04T14:09:00Z</dcterms:modified>
</cp:coreProperties>
</file>